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2F5C5E" w:rsidRPr="009E2B84" w:rsidTr="00E467FE">
        <w:trPr>
          <w:gridAfter w:val="1"/>
          <w:wAfter w:w="2693" w:type="dxa"/>
          <w:cantSplit/>
          <w:trHeight w:val="569"/>
        </w:trPr>
        <w:tc>
          <w:tcPr>
            <w:tcW w:w="4786" w:type="dxa"/>
            <w:shd w:val="clear" w:color="auto" w:fill="BFBFBF"/>
            <w:vAlign w:val="center"/>
          </w:tcPr>
          <w:p w:rsidR="002F5C5E" w:rsidRPr="009E2B84" w:rsidRDefault="00641B4A" w:rsidP="000C4A67">
            <w:pPr>
              <w:keepNext/>
              <w:shd w:val="clear" w:color="auto" w:fill="BFBFBF"/>
              <w:ind w:left="426" w:hanging="426"/>
              <w:jc w:val="center"/>
              <w:outlineLvl w:val="0"/>
              <w:rPr>
                <w:b/>
              </w:rPr>
            </w:pPr>
            <w:r>
              <w:rPr>
                <w:noProof/>
              </w:rPr>
              <w:drawing>
                <wp:anchor distT="0" distB="0" distL="114300" distR="114300" simplePos="0" relativeHeight="251657216"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410"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E467FE">
        <w:trPr>
          <w:gridAfter w:val="1"/>
          <w:wAfter w:w="2693" w:type="dxa"/>
          <w:cantSplit/>
          <w:trHeight w:val="654"/>
        </w:trPr>
        <w:tc>
          <w:tcPr>
            <w:tcW w:w="4786" w:type="dxa"/>
            <w:tcBorders>
              <w:bottom w:val="nil"/>
            </w:tcBorders>
            <w:vAlign w:val="center"/>
          </w:tcPr>
          <w:p w:rsidR="002F5C5E" w:rsidRPr="009E2B84" w:rsidRDefault="00EB2D32" w:rsidP="00E467FE">
            <w:pPr>
              <w:jc w:val="center"/>
              <w:rPr>
                <w:b/>
                <w:sz w:val="24"/>
                <w:szCs w:val="24"/>
              </w:rPr>
            </w:pPr>
            <w:r>
              <w:rPr>
                <w:b/>
                <w:sz w:val="24"/>
                <w:szCs w:val="24"/>
              </w:rPr>
              <w:t xml:space="preserve">      </w:t>
            </w:r>
            <w:r w:rsidR="00E467FE">
              <w:rPr>
                <w:b/>
                <w:sz w:val="24"/>
                <w:szCs w:val="24"/>
              </w:rPr>
              <w:t>Governance C</w:t>
            </w:r>
            <w:r>
              <w:rPr>
                <w:b/>
                <w:sz w:val="24"/>
                <w:szCs w:val="24"/>
              </w:rPr>
              <w:t>ommittee</w:t>
            </w:r>
          </w:p>
        </w:tc>
        <w:tc>
          <w:tcPr>
            <w:tcW w:w="2410" w:type="dxa"/>
            <w:gridSpan w:val="2"/>
            <w:tcBorders>
              <w:bottom w:val="nil"/>
            </w:tcBorders>
            <w:vAlign w:val="center"/>
          </w:tcPr>
          <w:p w:rsidR="002F5C5E" w:rsidRPr="00E467FE" w:rsidRDefault="00725FC0" w:rsidP="00725FC0">
            <w:pPr>
              <w:jc w:val="center"/>
              <w:rPr>
                <w:b/>
                <w:szCs w:val="22"/>
              </w:rPr>
            </w:pPr>
            <w:r>
              <w:rPr>
                <w:b/>
                <w:szCs w:val="22"/>
              </w:rPr>
              <w:t>31</w:t>
            </w:r>
            <w:r w:rsidRPr="00725FC0">
              <w:rPr>
                <w:b/>
                <w:szCs w:val="22"/>
                <w:vertAlign w:val="superscript"/>
              </w:rPr>
              <w:t>st</w:t>
            </w:r>
            <w:r>
              <w:rPr>
                <w:b/>
                <w:szCs w:val="22"/>
              </w:rPr>
              <w:t xml:space="preserve"> January 2018</w:t>
            </w:r>
          </w:p>
        </w:tc>
      </w:tr>
      <w:tr w:rsidR="002F5C5E" w:rsidRPr="009E2B84" w:rsidTr="00E467FE">
        <w:trPr>
          <w:gridAfter w:val="1"/>
          <w:wAfter w:w="2693" w:type="dxa"/>
          <w:cantSplit/>
          <w:trHeight w:val="560"/>
        </w:trPr>
        <w:tc>
          <w:tcPr>
            <w:tcW w:w="7196" w:type="dxa"/>
            <w:gridSpan w:val="3"/>
            <w:tcBorders>
              <w:left w:val="nil"/>
              <w:right w:val="nil"/>
            </w:tcBorders>
          </w:tcPr>
          <w:p w:rsidR="002F5C5E" w:rsidRPr="009E2B84" w:rsidRDefault="00E467FE" w:rsidP="003902A2">
            <w:pPr>
              <w:jc w:val="right"/>
              <w:rPr>
                <w:sz w:val="8"/>
              </w:rPr>
            </w:pPr>
            <w:r>
              <w:rPr>
                <w:sz w:val="8"/>
              </w:rPr>
              <w:t xml:space="preserve">External Audit Annual </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E467FE">
        <w:trPr>
          <w:cantSplit/>
          <w:trHeight w:val="1038"/>
        </w:trPr>
        <w:tc>
          <w:tcPr>
            <w:tcW w:w="6912" w:type="dxa"/>
            <w:gridSpan w:val="2"/>
            <w:vAlign w:val="center"/>
          </w:tcPr>
          <w:p w:rsidR="0047741D" w:rsidRPr="009E2B84" w:rsidRDefault="0054767E" w:rsidP="00AA7E2B">
            <w:pPr>
              <w:rPr>
                <w:b/>
              </w:rPr>
            </w:pPr>
            <w:r w:rsidRPr="0054767E">
              <w:rPr>
                <w:b/>
              </w:rPr>
              <w:t>External Audit - Update Report/Closure of Annual Accounts 2017/18 - plans to achieve the new deadline</w:t>
            </w:r>
          </w:p>
        </w:tc>
        <w:tc>
          <w:tcPr>
            <w:tcW w:w="2977" w:type="dxa"/>
            <w:gridSpan w:val="2"/>
            <w:vAlign w:val="center"/>
          </w:tcPr>
          <w:p w:rsidR="0047741D" w:rsidRPr="009E2B84" w:rsidRDefault="00571856" w:rsidP="008A2E50">
            <w:pPr>
              <w:jc w:val="center"/>
              <w:rPr>
                <w:i/>
              </w:rPr>
            </w:pPr>
            <w:r>
              <w:t>Deputy s 151 Officer</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812229">
        <w:trPr>
          <w:trHeight w:val="521"/>
        </w:trPr>
        <w:tc>
          <w:tcPr>
            <w:tcW w:w="6652" w:type="dxa"/>
            <w:shd w:val="clear" w:color="auto" w:fill="auto"/>
          </w:tcPr>
          <w:p w:rsidR="0047741D" w:rsidRDefault="0047741D" w:rsidP="00E2196F">
            <w:pPr>
              <w:rPr>
                <w:szCs w:val="22"/>
              </w:rPr>
            </w:pPr>
          </w:p>
          <w:p w:rsidR="0047741D" w:rsidRDefault="0047741D" w:rsidP="00E2196F">
            <w:pPr>
              <w:rPr>
                <w:szCs w:val="22"/>
              </w:rPr>
            </w:pPr>
            <w:r>
              <w:rPr>
                <w:szCs w:val="22"/>
              </w:rPr>
              <w:t>Is this report confidential?</w:t>
            </w:r>
          </w:p>
          <w:p w:rsidR="00812229" w:rsidRPr="009C1143" w:rsidRDefault="00812229" w:rsidP="00E2196F">
            <w:pPr>
              <w:rPr>
                <w:szCs w:val="22"/>
              </w:rPr>
            </w:pPr>
          </w:p>
        </w:tc>
        <w:tc>
          <w:tcPr>
            <w:tcW w:w="3266" w:type="dxa"/>
            <w:shd w:val="clear" w:color="auto" w:fill="auto"/>
          </w:tcPr>
          <w:p w:rsidR="00812229" w:rsidRDefault="0047741D" w:rsidP="00812229">
            <w:pPr>
              <w:rPr>
                <w:b/>
                <w:szCs w:val="22"/>
              </w:rPr>
            </w:pPr>
            <w:r w:rsidRPr="00F3057A">
              <w:rPr>
                <w:b/>
                <w:szCs w:val="22"/>
              </w:rPr>
              <w:t xml:space="preserve"> </w:t>
            </w:r>
          </w:p>
          <w:p w:rsidR="0047741D" w:rsidRPr="009C1143" w:rsidRDefault="0047741D" w:rsidP="00812229">
            <w:pPr>
              <w:rPr>
                <w:szCs w:val="22"/>
              </w:rPr>
            </w:pPr>
            <w:r w:rsidRPr="00F3057A">
              <w:rPr>
                <w:b/>
                <w:szCs w:val="22"/>
              </w:rPr>
              <w:t xml:space="preserve">No </w:t>
            </w:r>
          </w:p>
        </w:tc>
      </w:tr>
    </w:tbl>
    <w:p w:rsidR="0047741D" w:rsidRDefault="0047741D" w:rsidP="001467CC">
      <w:pPr>
        <w:jc w:val="both"/>
        <w:rPr>
          <w:sz w:val="16"/>
          <w:szCs w:val="16"/>
        </w:rPr>
      </w:pPr>
    </w:p>
    <w:p w:rsidR="00EB2D32" w:rsidRPr="009C1143" w:rsidRDefault="00EB2D32" w:rsidP="001467CC">
      <w:pPr>
        <w:jc w:val="both"/>
        <w:rPr>
          <w:sz w:val="16"/>
          <w:szCs w:val="16"/>
        </w:rPr>
      </w:pPr>
    </w:p>
    <w:p w:rsidR="00812229" w:rsidRDefault="002F5C5E" w:rsidP="001467CC">
      <w:pPr>
        <w:keepNext/>
        <w:numPr>
          <w:ilvl w:val="0"/>
          <w:numId w:val="8"/>
        </w:numPr>
        <w:jc w:val="both"/>
        <w:outlineLvl w:val="0"/>
        <w:rPr>
          <w:b/>
          <w:szCs w:val="22"/>
        </w:rPr>
      </w:pPr>
      <w:r w:rsidRPr="009C1143">
        <w:rPr>
          <w:b/>
          <w:szCs w:val="22"/>
        </w:rPr>
        <w:t xml:space="preserve">PURPOSE OF THE REPORT </w:t>
      </w:r>
    </w:p>
    <w:p w:rsidR="002F5C5E" w:rsidRPr="009C1143" w:rsidRDefault="002F5C5E" w:rsidP="001467CC">
      <w:pPr>
        <w:keepNext/>
        <w:jc w:val="both"/>
        <w:outlineLvl w:val="0"/>
        <w:rPr>
          <w:b/>
          <w:szCs w:val="22"/>
        </w:rPr>
      </w:pPr>
      <w:r w:rsidRPr="009C1143">
        <w:rPr>
          <w:b/>
          <w:szCs w:val="22"/>
        </w:rPr>
        <w:t xml:space="preserve"> </w:t>
      </w:r>
    </w:p>
    <w:p w:rsidR="002F5C5E" w:rsidRDefault="00725FC0" w:rsidP="001467CC">
      <w:pPr>
        <w:ind w:left="360"/>
        <w:jc w:val="both"/>
        <w:rPr>
          <w:szCs w:val="22"/>
        </w:rPr>
      </w:pPr>
      <w:r w:rsidRPr="00725FC0">
        <w:rPr>
          <w:szCs w:val="22"/>
        </w:rPr>
        <w:t xml:space="preserve">To provide an update on the progress of preparation for the closure of accounts 2017/18 as per the request of the Governance Committee in </w:t>
      </w:r>
      <w:r>
        <w:rPr>
          <w:szCs w:val="22"/>
        </w:rPr>
        <w:t xml:space="preserve">November </w:t>
      </w:r>
      <w:r w:rsidRPr="00725FC0">
        <w:rPr>
          <w:szCs w:val="22"/>
        </w:rPr>
        <w:t>2017</w:t>
      </w:r>
      <w:r w:rsidR="0054767E">
        <w:rPr>
          <w:szCs w:val="22"/>
        </w:rPr>
        <w:t xml:space="preserve"> and present the external audit Progress Report</w:t>
      </w:r>
      <w:r w:rsidR="0021003E">
        <w:rPr>
          <w:szCs w:val="22"/>
        </w:rPr>
        <w:t xml:space="preserve"> and</w:t>
      </w:r>
      <w:r w:rsidR="0054767E">
        <w:rPr>
          <w:szCs w:val="22"/>
        </w:rPr>
        <w:t xml:space="preserve"> </w:t>
      </w:r>
      <w:r w:rsidR="0021003E">
        <w:rPr>
          <w:szCs w:val="22"/>
        </w:rPr>
        <w:t xml:space="preserve">Sector Update </w:t>
      </w:r>
      <w:r w:rsidR="00BC30D9">
        <w:rPr>
          <w:szCs w:val="22"/>
        </w:rPr>
        <w:t>from Grant Thornton along with their Certification Letter for the Housing Benefit Subsidy claim.</w:t>
      </w:r>
    </w:p>
    <w:p w:rsidR="00725FC0" w:rsidRDefault="00725FC0" w:rsidP="001467CC">
      <w:pPr>
        <w:ind w:left="360"/>
        <w:jc w:val="both"/>
        <w:rPr>
          <w:szCs w:val="22"/>
        </w:rPr>
      </w:pPr>
    </w:p>
    <w:p w:rsidR="006F1494" w:rsidRPr="009C1143" w:rsidRDefault="006F1494" w:rsidP="001467CC">
      <w:pPr>
        <w:ind w:left="360"/>
        <w:jc w:val="both"/>
        <w:rPr>
          <w:szCs w:val="22"/>
        </w:rPr>
      </w:pPr>
    </w:p>
    <w:p w:rsidR="002F5C5E" w:rsidRDefault="002F5C5E" w:rsidP="001467CC">
      <w:pPr>
        <w:keepNext/>
        <w:numPr>
          <w:ilvl w:val="0"/>
          <w:numId w:val="8"/>
        </w:numPr>
        <w:jc w:val="both"/>
        <w:outlineLvl w:val="0"/>
        <w:rPr>
          <w:b/>
          <w:szCs w:val="22"/>
        </w:rPr>
      </w:pPr>
      <w:r w:rsidRPr="009C1143">
        <w:rPr>
          <w:b/>
          <w:szCs w:val="22"/>
        </w:rPr>
        <w:t>RECOMMENDATIONS</w:t>
      </w:r>
    </w:p>
    <w:p w:rsidR="00812229" w:rsidRPr="009C1143" w:rsidRDefault="00812229" w:rsidP="001467CC">
      <w:pPr>
        <w:keepNext/>
        <w:jc w:val="both"/>
        <w:outlineLvl w:val="0"/>
        <w:rPr>
          <w:b/>
          <w:szCs w:val="22"/>
        </w:rPr>
      </w:pPr>
    </w:p>
    <w:p w:rsidR="00812229" w:rsidRPr="001B0F1F" w:rsidRDefault="00812229" w:rsidP="001467CC">
      <w:pPr>
        <w:numPr>
          <w:ilvl w:val="1"/>
          <w:numId w:val="8"/>
        </w:numPr>
        <w:jc w:val="both"/>
        <w:rPr>
          <w:szCs w:val="22"/>
        </w:rPr>
      </w:pPr>
      <w:r w:rsidRPr="001B0F1F">
        <w:rPr>
          <w:szCs w:val="22"/>
        </w:rPr>
        <w:t xml:space="preserve">That members note the </w:t>
      </w:r>
      <w:r w:rsidR="00725FC0">
        <w:rPr>
          <w:szCs w:val="22"/>
        </w:rPr>
        <w:t>contents of this report</w:t>
      </w:r>
      <w:r w:rsidR="006531EE">
        <w:rPr>
          <w:szCs w:val="22"/>
        </w:rPr>
        <w:t>, the Shared Financial Services Closure of Accounts Timetable at Appendix A,</w:t>
      </w:r>
      <w:r w:rsidR="00725FC0">
        <w:rPr>
          <w:szCs w:val="22"/>
        </w:rPr>
        <w:t xml:space="preserve"> the contents of </w:t>
      </w:r>
      <w:r>
        <w:rPr>
          <w:szCs w:val="22"/>
        </w:rPr>
        <w:t xml:space="preserve">the external </w:t>
      </w:r>
      <w:r w:rsidR="001467CC">
        <w:rPr>
          <w:szCs w:val="22"/>
        </w:rPr>
        <w:t>auditor’s</w:t>
      </w:r>
      <w:r>
        <w:rPr>
          <w:szCs w:val="22"/>
        </w:rPr>
        <w:t xml:space="preserve"> </w:t>
      </w:r>
      <w:r w:rsidR="0021003E">
        <w:rPr>
          <w:szCs w:val="22"/>
        </w:rPr>
        <w:t xml:space="preserve">progress and </w:t>
      </w:r>
      <w:r w:rsidR="00725FC0">
        <w:rPr>
          <w:szCs w:val="22"/>
        </w:rPr>
        <w:t xml:space="preserve">update </w:t>
      </w:r>
      <w:r w:rsidR="001467CC">
        <w:rPr>
          <w:szCs w:val="22"/>
        </w:rPr>
        <w:t xml:space="preserve">report at </w:t>
      </w:r>
      <w:r w:rsidR="006531EE">
        <w:rPr>
          <w:szCs w:val="22"/>
        </w:rPr>
        <w:t>Appendix B</w:t>
      </w:r>
      <w:r w:rsidR="00B96DE3">
        <w:rPr>
          <w:szCs w:val="22"/>
        </w:rPr>
        <w:t>, and the contents of the external auditor’s Certification Letter at Appendix C.</w:t>
      </w:r>
    </w:p>
    <w:p w:rsidR="002F5C5E" w:rsidRPr="009C1143" w:rsidRDefault="002F5C5E" w:rsidP="001467CC">
      <w:pPr>
        <w:jc w:val="both"/>
        <w:rPr>
          <w:i/>
          <w:color w:val="2E74B5"/>
          <w:szCs w:val="22"/>
        </w:rPr>
      </w:pPr>
    </w:p>
    <w:p w:rsidR="002F5C5E" w:rsidRPr="009C1143" w:rsidRDefault="002F5C5E" w:rsidP="001467CC">
      <w:pPr>
        <w:jc w:val="both"/>
        <w:rPr>
          <w:sz w:val="16"/>
          <w:szCs w:val="16"/>
        </w:rPr>
      </w:pPr>
    </w:p>
    <w:p w:rsidR="002F5C5E" w:rsidRDefault="002F5C5E" w:rsidP="001467CC">
      <w:pPr>
        <w:keepNext/>
        <w:numPr>
          <w:ilvl w:val="0"/>
          <w:numId w:val="8"/>
        </w:numPr>
        <w:jc w:val="both"/>
        <w:outlineLvl w:val="0"/>
        <w:rPr>
          <w:b/>
          <w:szCs w:val="22"/>
        </w:rPr>
      </w:pPr>
      <w:r w:rsidRPr="009C1143">
        <w:rPr>
          <w:b/>
          <w:szCs w:val="22"/>
        </w:rPr>
        <w:t>CORPORATE PRIORITIES</w:t>
      </w:r>
    </w:p>
    <w:p w:rsidR="00FB6093" w:rsidRPr="009C1143" w:rsidRDefault="00FB6093" w:rsidP="001467CC">
      <w:pPr>
        <w:keepNext/>
        <w:jc w:val="both"/>
        <w:outlineLvl w:val="0"/>
        <w:rPr>
          <w:b/>
          <w:szCs w:val="22"/>
        </w:rPr>
      </w:pPr>
    </w:p>
    <w:p w:rsidR="002F5C5E" w:rsidRPr="009C1143" w:rsidRDefault="002F5C5E" w:rsidP="001467CC">
      <w:pPr>
        <w:keepNext/>
        <w:ind w:left="360"/>
        <w:jc w:val="both"/>
        <w:outlineLvl w:val="0"/>
        <w:rPr>
          <w:b/>
          <w:szCs w:val="22"/>
        </w:rPr>
      </w:pPr>
      <w:r w:rsidRPr="009C1143">
        <w:rPr>
          <w:szCs w:val="22"/>
        </w:rPr>
        <w:t>The report relates to the following corporate priorities</w:t>
      </w:r>
      <w:r w:rsidRPr="009C1143">
        <w:rPr>
          <w:b/>
          <w:szCs w:val="22"/>
        </w:rPr>
        <w:t xml:space="preserve"> </w:t>
      </w:r>
    </w:p>
    <w:p w:rsidR="002F5C5E" w:rsidRPr="009C1143" w:rsidRDefault="002F5C5E" w:rsidP="001467CC">
      <w:pPr>
        <w:jc w:val="both"/>
        <w:rPr>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
        <w:gridCol w:w="4678"/>
        <w:gridCol w:w="567"/>
      </w:tblGrid>
      <w:tr w:rsidR="002F5C5E" w:rsidRPr="009C1143" w:rsidTr="00AC4A99">
        <w:tc>
          <w:tcPr>
            <w:tcW w:w="4111" w:type="dxa"/>
            <w:shd w:val="clear" w:color="auto" w:fill="auto"/>
          </w:tcPr>
          <w:p w:rsidR="002F5C5E" w:rsidRPr="009C1143" w:rsidRDefault="002F5C5E" w:rsidP="001467CC">
            <w:pPr>
              <w:jc w:val="both"/>
              <w:rPr>
                <w:szCs w:val="22"/>
              </w:rPr>
            </w:pPr>
            <w:r w:rsidRPr="009C1143">
              <w:rPr>
                <w:szCs w:val="22"/>
              </w:rPr>
              <w:t>Clean, green and safe</w:t>
            </w:r>
          </w:p>
          <w:p w:rsidR="002F5C5E" w:rsidRPr="009C1143" w:rsidRDefault="002F5C5E" w:rsidP="001467CC">
            <w:pPr>
              <w:jc w:val="both"/>
              <w:rPr>
                <w:szCs w:val="22"/>
              </w:rPr>
            </w:pPr>
          </w:p>
        </w:tc>
        <w:tc>
          <w:tcPr>
            <w:tcW w:w="567" w:type="dxa"/>
            <w:shd w:val="clear" w:color="auto" w:fill="auto"/>
          </w:tcPr>
          <w:p w:rsidR="002F5C5E" w:rsidRPr="009C1143" w:rsidRDefault="002F5C5E" w:rsidP="001467CC">
            <w:pPr>
              <w:jc w:val="both"/>
              <w:rPr>
                <w:szCs w:val="22"/>
              </w:rPr>
            </w:pPr>
          </w:p>
        </w:tc>
        <w:tc>
          <w:tcPr>
            <w:tcW w:w="4678" w:type="dxa"/>
            <w:shd w:val="clear" w:color="auto" w:fill="auto"/>
          </w:tcPr>
          <w:p w:rsidR="002F5C5E" w:rsidRPr="009C1143" w:rsidRDefault="002F5C5E" w:rsidP="001467CC">
            <w:pPr>
              <w:jc w:val="both"/>
              <w:rPr>
                <w:szCs w:val="22"/>
              </w:rPr>
            </w:pPr>
            <w:r w:rsidRPr="009C1143">
              <w:rPr>
                <w:szCs w:val="22"/>
              </w:rPr>
              <w:t>Strong and healthy communities</w:t>
            </w:r>
          </w:p>
        </w:tc>
        <w:tc>
          <w:tcPr>
            <w:tcW w:w="567" w:type="dxa"/>
            <w:shd w:val="clear" w:color="auto" w:fill="auto"/>
          </w:tcPr>
          <w:p w:rsidR="002F5C5E" w:rsidRPr="009C1143" w:rsidRDefault="002F5C5E" w:rsidP="001467CC">
            <w:pPr>
              <w:jc w:val="both"/>
              <w:rPr>
                <w:szCs w:val="22"/>
              </w:rPr>
            </w:pPr>
          </w:p>
        </w:tc>
      </w:tr>
      <w:tr w:rsidR="002F5C5E" w:rsidRPr="009C1143" w:rsidTr="00AC4A99">
        <w:tc>
          <w:tcPr>
            <w:tcW w:w="4111" w:type="dxa"/>
            <w:shd w:val="clear" w:color="auto" w:fill="auto"/>
          </w:tcPr>
          <w:p w:rsidR="002F5C5E" w:rsidRPr="009C1143" w:rsidRDefault="002F5C5E" w:rsidP="001467CC">
            <w:pPr>
              <w:jc w:val="both"/>
              <w:rPr>
                <w:szCs w:val="22"/>
              </w:rPr>
            </w:pPr>
            <w:r w:rsidRPr="009C1143">
              <w:rPr>
                <w:szCs w:val="22"/>
              </w:rPr>
              <w:t>Strong South Ribble in the heart of prosperous Lancashire</w:t>
            </w:r>
          </w:p>
        </w:tc>
        <w:tc>
          <w:tcPr>
            <w:tcW w:w="567" w:type="dxa"/>
            <w:shd w:val="clear" w:color="auto" w:fill="auto"/>
          </w:tcPr>
          <w:p w:rsidR="002F5C5E" w:rsidRPr="009C1143" w:rsidRDefault="002F5C5E" w:rsidP="001467CC">
            <w:pPr>
              <w:jc w:val="both"/>
              <w:rPr>
                <w:szCs w:val="22"/>
              </w:rPr>
            </w:pPr>
          </w:p>
        </w:tc>
        <w:tc>
          <w:tcPr>
            <w:tcW w:w="4678" w:type="dxa"/>
            <w:shd w:val="clear" w:color="auto" w:fill="auto"/>
          </w:tcPr>
          <w:p w:rsidR="002F5C5E" w:rsidRPr="009C1143" w:rsidRDefault="002F5C5E" w:rsidP="001467CC">
            <w:pPr>
              <w:jc w:val="both"/>
              <w:rPr>
                <w:szCs w:val="22"/>
              </w:rPr>
            </w:pPr>
            <w:r w:rsidRPr="009C1143">
              <w:rPr>
                <w:szCs w:val="22"/>
              </w:rPr>
              <w:t>Efficient, effective and exceptional council</w:t>
            </w:r>
          </w:p>
        </w:tc>
        <w:tc>
          <w:tcPr>
            <w:tcW w:w="567" w:type="dxa"/>
            <w:shd w:val="clear" w:color="auto" w:fill="auto"/>
          </w:tcPr>
          <w:p w:rsidR="002F5C5E" w:rsidRPr="009C1143" w:rsidRDefault="00812229" w:rsidP="001467CC">
            <w:pPr>
              <w:jc w:val="both"/>
              <w:rPr>
                <w:szCs w:val="22"/>
              </w:rPr>
            </w:pPr>
            <w:r>
              <w:rPr>
                <w:rFonts w:cs="Arial"/>
                <w:szCs w:val="22"/>
              </w:rPr>
              <w:t>√</w:t>
            </w:r>
          </w:p>
        </w:tc>
      </w:tr>
    </w:tbl>
    <w:p w:rsidR="002F5C5E" w:rsidRDefault="002F5C5E" w:rsidP="001467CC">
      <w:pPr>
        <w:jc w:val="both"/>
        <w:rPr>
          <w:szCs w:val="22"/>
        </w:rPr>
      </w:pPr>
    </w:p>
    <w:p w:rsidR="006F1494" w:rsidRPr="009C1143" w:rsidRDefault="006F1494" w:rsidP="001467CC">
      <w:pPr>
        <w:jc w:val="both"/>
        <w:rPr>
          <w:szCs w:val="22"/>
        </w:rPr>
      </w:pPr>
    </w:p>
    <w:p w:rsidR="00725FC0" w:rsidRDefault="00725FC0" w:rsidP="001467CC">
      <w:pPr>
        <w:numPr>
          <w:ilvl w:val="0"/>
          <w:numId w:val="8"/>
        </w:numPr>
        <w:jc w:val="both"/>
        <w:rPr>
          <w:b/>
          <w:szCs w:val="22"/>
        </w:rPr>
      </w:pPr>
      <w:r>
        <w:rPr>
          <w:b/>
          <w:szCs w:val="22"/>
        </w:rPr>
        <w:t xml:space="preserve">PREPARATION FOR THE 2017/18 </w:t>
      </w:r>
      <w:r w:rsidR="00952C31">
        <w:rPr>
          <w:b/>
          <w:szCs w:val="22"/>
        </w:rPr>
        <w:t>STAT</w:t>
      </w:r>
      <w:r w:rsidR="00044B96">
        <w:rPr>
          <w:b/>
          <w:szCs w:val="22"/>
        </w:rPr>
        <w:t>E</w:t>
      </w:r>
      <w:r w:rsidR="00952C31">
        <w:rPr>
          <w:b/>
          <w:szCs w:val="22"/>
        </w:rPr>
        <w:t>MENT</w:t>
      </w:r>
      <w:r>
        <w:rPr>
          <w:b/>
          <w:szCs w:val="22"/>
        </w:rPr>
        <w:t xml:space="preserve"> OF ACCOUNTS</w:t>
      </w:r>
      <w:r w:rsidR="00044B96">
        <w:rPr>
          <w:b/>
          <w:szCs w:val="22"/>
        </w:rPr>
        <w:t xml:space="preserve"> PRODUCTION</w:t>
      </w:r>
    </w:p>
    <w:p w:rsidR="001E1B68" w:rsidRDefault="001E1B68" w:rsidP="001467CC">
      <w:pPr>
        <w:ind w:left="360"/>
        <w:jc w:val="both"/>
        <w:rPr>
          <w:b/>
          <w:szCs w:val="22"/>
        </w:rPr>
      </w:pPr>
    </w:p>
    <w:p w:rsidR="001E1B68" w:rsidRDefault="001E1B68" w:rsidP="001467CC">
      <w:pPr>
        <w:numPr>
          <w:ilvl w:val="1"/>
          <w:numId w:val="8"/>
        </w:numPr>
        <w:jc w:val="both"/>
        <w:rPr>
          <w:szCs w:val="22"/>
        </w:rPr>
      </w:pPr>
      <w:r>
        <w:rPr>
          <w:szCs w:val="22"/>
        </w:rPr>
        <w:t>As Committee are well aware, t</w:t>
      </w:r>
      <w:r w:rsidRPr="001E1B68">
        <w:rPr>
          <w:szCs w:val="22"/>
        </w:rPr>
        <w:t xml:space="preserve">he Accounts and Audit Regulations 2015 set out new deadlines for the publication of the 2017/18 </w:t>
      </w:r>
      <w:r w:rsidR="001467CC">
        <w:rPr>
          <w:szCs w:val="22"/>
        </w:rPr>
        <w:t>Statement of A</w:t>
      </w:r>
      <w:r w:rsidRPr="001E1B68">
        <w:rPr>
          <w:szCs w:val="22"/>
        </w:rPr>
        <w:t xml:space="preserve">ccounts. The draft accounts must be completed and signed by 31st May 2018 with the final audited accounts </w:t>
      </w:r>
      <w:r>
        <w:rPr>
          <w:szCs w:val="22"/>
        </w:rPr>
        <w:t>approved</w:t>
      </w:r>
      <w:r w:rsidRPr="001E1B68">
        <w:rPr>
          <w:szCs w:val="22"/>
        </w:rPr>
        <w:t xml:space="preserve"> </w:t>
      </w:r>
      <w:r w:rsidR="001467CC">
        <w:rPr>
          <w:szCs w:val="22"/>
        </w:rPr>
        <w:t xml:space="preserve">by the Chief Finance Officer and Governance Committee </w:t>
      </w:r>
      <w:r w:rsidRPr="001E1B68">
        <w:rPr>
          <w:szCs w:val="22"/>
        </w:rPr>
        <w:t>by the 31st July</w:t>
      </w:r>
      <w:r w:rsidR="00952C31">
        <w:rPr>
          <w:szCs w:val="22"/>
        </w:rPr>
        <w:t xml:space="preserve"> 2018</w:t>
      </w:r>
      <w:r w:rsidRPr="001E1B68">
        <w:rPr>
          <w:szCs w:val="22"/>
        </w:rPr>
        <w:t>.</w:t>
      </w:r>
    </w:p>
    <w:p w:rsidR="001E1B68" w:rsidRDefault="001E1B68" w:rsidP="001467CC">
      <w:pPr>
        <w:ind w:left="720"/>
        <w:jc w:val="both"/>
        <w:rPr>
          <w:szCs w:val="22"/>
        </w:rPr>
      </w:pPr>
    </w:p>
    <w:p w:rsidR="001E1B68" w:rsidRDefault="001E1B68" w:rsidP="001467CC">
      <w:pPr>
        <w:numPr>
          <w:ilvl w:val="1"/>
          <w:numId w:val="8"/>
        </w:numPr>
        <w:jc w:val="both"/>
        <w:rPr>
          <w:szCs w:val="22"/>
        </w:rPr>
      </w:pPr>
      <w:r>
        <w:rPr>
          <w:szCs w:val="22"/>
        </w:rPr>
        <w:t xml:space="preserve">The 2016/17 accounts production process was used as a second practice run to test our project plan and </w:t>
      </w:r>
      <w:r w:rsidR="0054767E">
        <w:rPr>
          <w:szCs w:val="22"/>
        </w:rPr>
        <w:t xml:space="preserve">our </w:t>
      </w:r>
      <w:r>
        <w:rPr>
          <w:szCs w:val="22"/>
        </w:rPr>
        <w:t xml:space="preserve">preparations for this advancing deadline </w:t>
      </w:r>
      <w:r w:rsidR="0054767E">
        <w:rPr>
          <w:szCs w:val="22"/>
        </w:rPr>
        <w:t xml:space="preserve">by </w:t>
      </w:r>
      <w:r>
        <w:rPr>
          <w:szCs w:val="22"/>
        </w:rPr>
        <w:t>setting ourselves the target of producing the draft accounts by 31</w:t>
      </w:r>
      <w:r w:rsidRPr="001E1B68">
        <w:rPr>
          <w:szCs w:val="22"/>
          <w:vertAlign w:val="superscript"/>
        </w:rPr>
        <w:t>st</w:t>
      </w:r>
      <w:r>
        <w:rPr>
          <w:szCs w:val="22"/>
        </w:rPr>
        <w:t xml:space="preserve"> May in 2017</w:t>
      </w:r>
      <w:r w:rsidR="001467CC">
        <w:rPr>
          <w:szCs w:val="22"/>
        </w:rPr>
        <w:t xml:space="preserve"> even though the statutory publication deadline for the draft 2016/17 accounts was 30</w:t>
      </w:r>
      <w:r w:rsidR="001467CC" w:rsidRPr="001467CC">
        <w:rPr>
          <w:szCs w:val="22"/>
          <w:vertAlign w:val="superscript"/>
        </w:rPr>
        <w:t>th</w:t>
      </w:r>
      <w:r w:rsidR="001467CC">
        <w:rPr>
          <w:szCs w:val="22"/>
        </w:rPr>
        <w:t xml:space="preserve"> June 2017</w:t>
      </w:r>
      <w:r>
        <w:rPr>
          <w:szCs w:val="22"/>
        </w:rPr>
        <w:t>. As previously reported, the Sha</w:t>
      </w:r>
      <w:r w:rsidR="002A0680">
        <w:rPr>
          <w:szCs w:val="22"/>
        </w:rPr>
        <w:t>red Financial Services Team was</w:t>
      </w:r>
      <w:r>
        <w:rPr>
          <w:szCs w:val="22"/>
        </w:rPr>
        <w:t xml:space="preserve"> successful in achieving this challenging target, having a draft set of financial statements ready by 19</w:t>
      </w:r>
      <w:r w:rsidRPr="001E1B68">
        <w:rPr>
          <w:szCs w:val="22"/>
          <w:vertAlign w:val="superscript"/>
        </w:rPr>
        <w:t>th</w:t>
      </w:r>
      <w:r>
        <w:rPr>
          <w:szCs w:val="22"/>
        </w:rPr>
        <w:t xml:space="preserve"> May 2017.</w:t>
      </w:r>
      <w:r w:rsidR="006D5622">
        <w:rPr>
          <w:szCs w:val="22"/>
        </w:rPr>
        <w:t xml:space="preserve"> A number of</w:t>
      </w:r>
      <w:r w:rsidR="002966B9">
        <w:rPr>
          <w:szCs w:val="22"/>
        </w:rPr>
        <w:t xml:space="preserve"> </w:t>
      </w:r>
      <w:r w:rsidR="0054767E">
        <w:rPr>
          <w:szCs w:val="22"/>
        </w:rPr>
        <w:t>improvements</w:t>
      </w:r>
      <w:r w:rsidR="002966B9">
        <w:rPr>
          <w:szCs w:val="22"/>
        </w:rPr>
        <w:t xml:space="preserve"> were undertaken to expedite the closure process and these are highlighted below:</w:t>
      </w:r>
    </w:p>
    <w:p w:rsidR="004609D0" w:rsidRDefault="002966B9" w:rsidP="001467CC">
      <w:pPr>
        <w:numPr>
          <w:ilvl w:val="1"/>
          <w:numId w:val="18"/>
        </w:numPr>
        <w:jc w:val="both"/>
        <w:rPr>
          <w:szCs w:val="22"/>
        </w:rPr>
      </w:pPr>
      <w:r w:rsidRPr="002966B9">
        <w:rPr>
          <w:szCs w:val="22"/>
        </w:rPr>
        <w:t xml:space="preserve">Prepared working papers and </w:t>
      </w:r>
      <w:r w:rsidR="006D5622">
        <w:rPr>
          <w:szCs w:val="22"/>
        </w:rPr>
        <w:t>pro-forma</w:t>
      </w:r>
      <w:r w:rsidRPr="002966B9">
        <w:rPr>
          <w:szCs w:val="22"/>
        </w:rPr>
        <w:t xml:space="preserve"> S</w:t>
      </w:r>
      <w:r>
        <w:rPr>
          <w:szCs w:val="22"/>
        </w:rPr>
        <w:t>tatement of Accounts e</w:t>
      </w:r>
      <w:r w:rsidRPr="002966B9">
        <w:rPr>
          <w:szCs w:val="22"/>
        </w:rPr>
        <w:t xml:space="preserve">arlier </w:t>
      </w:r>
      <w:r w:rsidR="0054767E">
        <w:rPr>
          <w:szCs w:val="22"/>
        </w:rPr>
        <w:t xml:space="preserve">in </w:t>
      </w:r>
      <w:r w:rsidRPr="002966B9">
        <w:rPr>
          <w:szCs w:val="22"/>
        </w:rPr>
        <w:t>Feb/March</w:t>
      </w:r>
      <w:r>
        <w:rPr>
          <w:szCs w:val="22"/>
        </w:rPr>
        <w:t>.</w:t>
      </w:r>
    </w:p>
    <w:p w:rsidR="00040039" w:rsidRPr="002966B9" w:rsidRDefault="00040039" w:rsidP="001467CC">
      <w:pPr>
        <w:numPr>
          <w:ilvl w:val="1"/>
          <w:numId w:val="18"/>
        </w:numPr>
        <w:jc w:val="both"/>
        <w:rPr>
          <w:szCs w:val="22"/>
        </w:rPr>
      </w:pPr>
      <w:r>
        <w:rPr>
          <w:szCs w:val="22"/>
        </w:rPr>
        <w:t>Early review and approval of Accounting Policies</w:t>
      </w:r>
    </w:p>
    <w:p w:rsidR="004609D0" w:rsidRPr="002966B9" w:rsidRDefault="002966B9" w:rsidP="001467CC">
      <w:pPr>
        <w:numPr>
          <w:ilvl w:val="1"/>
          <w:numId w:val="18"/>
        </w:numPr>
        <w:jc w:val="both"/>
        <w:rPr>
          <w:szCs w:val="22"/>
        </w:rPr>
      </w:pPr>
      <w:r w:rsidRPr="002966B9">
        <w:rPr>
          <w:szCs w:val="22"/>
        </w:rPr>
        <w:t>Ensured asset valuations were</w:t>
      </w:r>
      <w:r w:rsidR="001467CC">
        <w:rPr>
          <w:szCs w:val="22"/>
        </w:rPr>
        <w:t xml:space="preserve"> received by 31st March, engaged with</w:t>
      </w:r>
      <w:r w:rsidR="006D5622">
        <w:rPr>
          <w:szCs w:val="22"/>
        </w:rPr>
        <w:t xml:space="preserve"> an</w:t>
      </w:r>
      <w:r w:rsidRPr="002966B9">
        <w:rPr>
          <w:szCs w:val="22"/>
        </w:rPr>
        <w:t xml:space="preserve"> external </w:t>
      </w:r>
      <w:proofErr w:type="spellStart"/>
      <w:r w:rsidRPr="002966B9">
        <w:rPr>
          <w:szCs w:val="22"/>
        </w:rPr>
        <w:t>valuer</w:t>
      </w:r>
      <w:proofErr w:type="spellEnd"/>
      <w:r>
        <w:rPr>
          <w:szCs w:val="22"/>
        </w:rPr>
        <w:t>.</w:t>
      </w:r>
    </w:p>
    <w:p w:rsidR="004609D0" w:rsidRPr="002966B9" w:rsidRDefault="002966B9" w:rsidP="001467CC">
      <w:pPr>
        <w:numPr>
          <w:ilvl w:val="1"/>
          <w:numId w:val="18"/>
        </w:numPr>
        <w:jc w:val="both"/>
        <w:rPr>
          <w:szCs w:val="22"/>
        </w:rPr>
      </w:pPr>
      <w:r w:rsidRPr="002966B9">
        <w:rPr>
          <w:szCs w:val="22"/>
        </w:rPr>
        <w:t>Implementation and trial of Asset Accounting module</w:t>
      </w:r>
      <w:r w:rsidR="001467CC">
        <w:rPr>
          <w:szCs w:val="22"/>
        </w:rPr>
        <w:t xml:space="preserve"> for financial system</w:t>
      </w:r>
      <w:r>
        <w:rPr>
          <w:szCs w:val="22"/>
        </w:rPr>
        <w:t>.</w:t>
      </w:r>
    </w:p>
    <w:p w:rsidR="004609D0" w:rsidRPr="002966B9" w:rsidRDefault="002966B9" w:rsidP="001467CC">
      <w:pPr>
        <w:numPr>
          <w:ilvl w:val="1"/>
          <w:numId w:val="18"/>
        </w:numPr>
        <w:jc w:val="both"/>
        <w:rPr>
          <w:szCs w:val="22"/>
        </w:rPr>
      </w:pPr>
      <w:r>
        <w:rPr>
          <w:szCs w:val="22"/>
        </w:rPr>
        <w:t>Co-ordinated collection</w:t>
      </w:r>
      <w:r w:rsidRPr="002966B9">
        <w:rPr>
          <w:szCs w:val="22"/>
        </w:rPr>
        <w:t xml:space="preserve"> of </w:t>
      </w:r>
      <w:r w:rsidR="00044B96" w:rsidRPr="002966B9">
        <w:rPr>
          <w:szCs w:val="22"/>
        </w:rPr>
        <w:t xml:space="preserve">year-end </w:t>
      </w:r>
      <w:r w:rsidRPr="002966B9">
        <w:rPr>
          <w:szCs w:val="22"/>
        </w:rPr>
        <w:t>flexi</w:t>
      </w:r>
      <w:r w:rsidR="00044B96">
        <w:rPr>
          <w:szCs w:val="22"/>
        </w:rPr>
        <w:t>, TOIL</w:t>
      </w:r>
      <w:r w:rsidRPr="002966B9">
        <w:rPr>
          <w:szCs w:val="22"/>
        </w:rPr>
        <w:t xml:space="preserve"> and leave </w:t>
      </w:r>
      <w:r w:rsidR="001467CC">
        <w:rPr>
          <w:szCs w:val="22"/>
        </w:rPr>
        <w:t xml:space="preserve">balances </w:t>
      </w:r>
      <w:r w:rsidRPr="002966B9">
        <w:rPr>
          <w:szCs w:val="22"/>
        </w:rPr>
        <w:t>and developed spreadsheet solution</w:t>
      </w:r>
      <w:r>
        <w:rPr>
          <w:szCs w:val="22"/>
        </w:rPr>
        <w:t>.</w:t>
      </w:r>
    </w:p>
    <w:p w:rsidR="004609D0" w:rsidRPr="002966B9" w:rsidRDefault="002966B9" w:rsidP="001467CC">
      <w:pPr>
        <w:numPr>
          <w:ilvl w:val="1"/>
          <w:numId w:val="18"/>
        </w:numPr>
        <w:jc w:val="both"/>
        <w:rPr>
          <w:szCs w:val="22"/>
        </w:rPr>
      </w:pPr>
      <w:r w:rsidRPr="002966B9">
        <w:rPr>
          <w:szCs w:val="22"/>
        </w:rPr>
        <w:t>Post</w:t>
      </w:r>
      <w:r>
        <w:rPr>
          <w:szCs w:val="22"/>
        </w:rPr>
        <w:t>ed</w:t>
      </w:r>
      <w:r w:rsidRPr="002966B9">
        <w:rPr>
          <w:szCs w:val="22"/>
        </w:rPr>
        <w:t xml:space="preserve"> bank files </w:t>
      </w:r>
      <w:r w:rsidR="0054767E" w:rsidRPr="002966B9">
        <w:rPr>
          <w:szCs w:val="22"/>
        </w:rPr>
        <w:t xml:space="preserve">daily </w:t>
      </w:r>
      <w:r w:rsidRPr="002966B9">
        <w:rPr>
          <w:szCs w:val="22"/>
        </w:rPr>
        <w:t>instead of weekly so bank and cash reconciliations can be undertaken sooner</w:t>
      </w:r>
      <w:r>
        <w:rPr>
          <w:szCs w:val="22"/>
        </w:rPr>
        <w:t>.</w:t>
      </w:r>
    </w:p>
    <w:p w:rsidR="0054767E" w:rsidRDefault="002966B9" w:rsidP="001467CC">
      <w:pPr>
        <w:numPr>
          <w:ilvl w:val="1"/>
          <w:numId w:val="18"/>
        </w:numPr>
        <w:jc w:val="both"/>
        <w:rPr>
          <w:szCs w:val="22"/>
        </w:rPr>
      </w:pPr>
      <w:r w:rsidRPr="0054767E">
        <w:rPr>
          <w:szCs w:val="22"/>
        </w:rPr>
        <w:t>Undertook some tasks in a different order</w:t>
      </w:r>
      <w:r w:rsidR="001467CC">
        <w:rPr>
          <w:szCs w:val="22"/>
        </w:rPr>
        <w:t xml:space="preserve">, including </w:t>
      </w:r>
      <w:r w:rsidR="0062451B">
        <w:rPr>
          <w:szCs w:val="22"/>
        </w:rPr>
        <w:t xml:space="preserve">preparation of the </w:t>
      </w:r>
      <w:r w:rsidR="001467CC">
        <w:rPr>
          <w:szCs w:val="22"/>
        </w:rPr>
        <w:t>Collection Fund</w:t>
      </w:r>
      <w:r w:rsidRPr="0054767E">
        <w:rPr>
          <w:szCs w:val="22"/>
        </w:rPr>
        <w:t xml:space="preserve"> and asset register production</w:t>
      </w:r>
      <w:r w:rsidR="0054767E">
        <w:rPr>
          <w:szCs w:val="22"/>
        </w:rPr>
        <w:t xml:space="preserve"> earlier in the process</w:t>
      </w:r>
      <w:r w:rsidRPr="0054767E">
        <w:rPr>
          <w:szCs w:val="22"/>
        </w:rPr>
        <w:t>.</w:t>
      </w:r>
    </w:p>
    <w:p w:rsidR="004609D0" w:rsidRPr="0054767E" w:rsidRDefault="002966B9" w:rsidP="001467CC">
      <w:pPr>
        <w:numPr>
          <w:ilvl w:val="1"/>
          <w:numId w:val="18"/>
        </w:numPr>
        <w:jc w:val="both"/>
        <w:rPr>
          <w:szCs w:val="22"/>
        </w:rPr>
      </w:pPr>
      <w:r w:rsidRPr="0054767E">
        <w:rPr>
          <w:szCs w:val="22"/>
        </w:rPr>
        <w:t>Reallocated some tasks to areas better suited to deliver</w:t>
      </w:r>
      <w:r w:rsidR="001467CC">
        <w:rPr>
          <w:szCs w:val="22"/>
        </w:rPr>
        <w:t xml:space="preserve"> them, e.g.</w:t>
      </w:r>
      <w:r w:rsidRPr="0054767E">
        <w:rPr>
          <w:szCs w:val="22"/>
        </w:rPr>
        <w:t xml:space="preserve"> purchase order year end process</w:t>
      </w:r>
      <w:r w:rsidR="001467CC">
        <w:rPr>
          <w:szCs w:val="22"/>
        </w:rPr>
        <w:t>ing</w:t>
      </w:r>
      <w:r w:rsidRPr="0054767E">
        <w:rPr>
          <w:szCs w:val="22"/>
        </w:rPr>
        <w:t xml:space="preserve"> to Management </w:t>
      </w:r>
      <w:r w:rsidR="0062451B" w:rsidRPr="0054767E">
        <w:rPr>
          <w:szCs w:val="22"/>
        </w:rPr>
        <w:t>Account</w:t>
      </w:r>
      <w:r w:rsidR="0062451B">
        <w:rPr>
          <w:szCs w:val="22"/>
        </w:rPr>
        <w:t>ants</w:t>
      </w:r>
      <w:r w:rsidRPr="0054767E">
        <w:rPr>
          <w:szCs w:val="22"/>
        </w:rPr>
        <w:t>.</w:t>
      </w:r>
    </w:p>
    <w:p w:rsidR="004609D0" w:rsidRPr="002966B9" w:rsidRDefault="002966B9" w:rsidP="001467CC">
      <w:pPr>
        <w:numPr>
          <w:ilvl w:val="1"/>
          <w:numId w:val="18"/>
        </w:numPr>
        <w:jc w:val="both"/>
        <w:rPr>
          <w:szCs w:val="22"/>
        </w:rPr>
      </w:pPr>
      <w:r w:rsidRPr="002966B9">
        <w:rPr>
          <w:szCs w:val="22"/>
        </w:rPr>
        <w:t xml:space="preserve">Shortened timescales for </w:t>
      </w:r>
      <w:r w:rsidR="001467CC">
        <w:rPr>
          <w:szCs w:val="22"/>
        </w:rPr>
        <w:t xml:space="preserve">submitting </w:t>
      </w:r>
      <w:r w:rsidRPr="002966B9">
        <w:rPr>
          <w:szCs w:val="22"/>
        </w:rPr>
        <w:t>carry forward requests and accruals of income and expenditure</w:t>
      </w:r>
      <w:r w:rsidR="0062451B">
        <w:rPr>
          <w:szCs w:val="22"/>
        </w:rPr>
        <w:t xml:space="preserve"> by departments</w:t>
      </w:r>
      <w:r w:rsidR="00253320">
        <w:rPr>
          <w:szCs w:val="22"/>
        </w:rPr>
        <w:t>.</w:t>
      </w:r>
    </w:p>
    <w:p w:rsidR="004609D0" w:rsidRPr="002966B9" w:rsidRDefault="002966B9" w:rsidP="001467CC">
      <w:pPr>
        <w:numPr>
          <w:ilvl w:val="1"/>
          <w:numId w:val="18"/>
        </w:numPr>
        <w:jc w:val="both"/>
        <w:rPr>
          <w:szCs w:val="22"/>
        </w:rPr>
      </w:pPr>
      <w:r w:rsidRPr="002966B9">
        <w:rPr>
          <w:szCs w:val="22"/>
        </w:rPr>
        <w:t>Used the coding structure in the financia</w:t>
      </w:r>
      <w:r w:rsidR="00253320">
        <w:rPr>
          <w:szCs w:val="22"/>
        </w:rPr>
        <w:t xml:space="preserve">l system to even greater degree incorporating the </w:t>
      </w:r>
      <w:r w:rsidRPr="002966B9">
        <w:rPr>
          <w:szCs w:val="22"/>
        </w:rPr>
        <w:t xml:space="preserve">new format </w:t>
      </w:r>
      <w:r w:rsidR="00253320">
        <w:rPr>
          <w:szCs w:val="22"/>
        </w:rPr>
        <w:t>of accounts for automatic production.</w:t>
      </w:r>
    </w:p>
    <w:p w:rsidR="002966B9" w:rsidRPr="00253320" w:rsidRDefault="00253320" w:rsidP="001467CC">
      <w:pPr>
        <w:numPr>
          <w:ilvl w:val="1"/>
          <w:numId w:val="18"/>
        </w:numPr>
        <w:jc w:val="both"/>
        <w:rPr>
          <w:szCs w:val="22"/>
        </w:rPr>
      </w:pPr>
      <w:r>
        <w:rPr>
          <w:szCs w:val="22"/>
        </w:rPr>
        <w:t>Introduced a n</w:t>
      </w:r>
      <w:r w:rsidR="002966B9" w:rsidRPr="002966B9">
        <w:rPr>
          <w:szCs w:val="22"/>
        </w:rPr>
        <w:t>ew automated statistical methodology for calculating Business Rates appeals provision</w:t>
      </w:r>
      <w:r>
        <w:rPr>
          <w:szCs w:val="22"/>
        </w:rPr>
        <w:t>.</w:t>
      </w:r>
    </w:p>
    <w:p w:rsidR="00952C31" w:rsidRPr="001E1B68" w:rsidRDefault="00952C31" w:rsidP="001467CC">
      <w:pPr>
        <w:jc w:val="both"/>
        <w:rPr>
          <w:szCs w:val="22"/>
        </w:rPr>
      </w:pPr>
    </w:p>
    <w:p w:rsidR="001E1B68" w:rsidRDefault="001E1B68" w:rsidP="001467CC">
      <w:pPr>
        <w:numPr>
          <w:ilvl w:val="1"/>
          <w:numId w:val="8"/>
        </w:numPr>
        <w:jc w:val="both"/>
        <w:rPr>
          <w:szCs w:val="22"/>
        </w:rPr>
      </w:pPr>
      <w:r w:rsidRPr="001E1B68">
        <w:rPr>
          <w:szCs w:val="22"/>
        </w:rPr>
        <w:t>Preparation for the 2017/18 closure of accounts</w:t>
      </w:r>
      <w:r>
        <w:rPr>
          <w:szCs w:val="22"/>
        </w:rPr>
        <w:t xml:space="preserve"> process</w:t>
      </w:r>
      <w:r w:rsidRPr="001E1B68">
        <w:rPr>
          <w:szCs w:val="22"/>
        </w:rPr>
        <w:t xml:space="preserve"> is </w:t>
      </w:r>
      <w:r>
        <w:rPr>
          <w:szCs w:val="22"/>
        </w:rPr>
        <w:t xml:space="preserve">well </w:t>
      </w:r>
      <w:r w:rsidRPr="001E1B68">
        <w:rPr>
          <w:szCs w:val="22"/>
        </w:rPr>
        <w:t xml:space="preserve">underway and has built on the lessons learnt from 2016/17. </w:t>
      </w:r>
      <w:r>
        <w:rPr>
          <w:szCs w:val="22"/>
        </w:rPr>
        <w:t>We have undertaken an internal review of the 2016/17 process to inform our planning for 2017/18 and we have already met with external audit on a number of occasions to plan for the 2017/18 audit.</w:t>
      </w:r>
    </w:p>
    <w:p w:rsidR="002966B9" w:rsidRDefault="002966B9" w:rsidP="001467CC">
      <w:pPr>
        <w:ind w:left="720"/>
        <w:jc w:val="both"/>
        <w:rPr>
          <w:szCs w:val="22"/>
        </w:rPr>
      </w:pPr>
    </w:p>
    <w:p w:rsidR="00952C31" w:rsidRPr="00C04193" w:rsidRDefault="00952C31" w:rsidP="005E1D64">
      <w:pPr>
        <w:numPr>
          <w:ilvl w:val="1"/>
          <w:numId w:val="8"/>
        </w:numPr>
        <w:jc w:val="both"/>
        <w:rPr>
          <w:szCs w:val="22"/>
        </w:rPr>
      </w:pPr>
      <w:r w:rsidRPr="00C04193">
        <w:rPr>
          <w:szCs w:val="22"/>
        </w:rPr>
        <w:t xml:space="preserve">The changes required as part of the </w:t>
      </w:r>
      <w:r w:rsidR="00C04193">
        <w:rPr>
          <w:szCs w:val="22"/>
        </w:rPr>
        <w:t>updated</w:t>
      </w:r>
      <w:r w:rsidRPr="00C04193">
        <w:rPr>
          <w:szCs w:val="22"/>
        </w:rPr>
        <w:t xml:space="preserve"> </w:t>
      </w:r>
      <w:r w:rsidR="00C04193" w:rsidRPr="00C04193">
        <w:rPr>
          <w:szCs w:val="22"/>
        </w:rPr>
        <w:t>CIPFA/LASAAC Code of Practice on Local Authority Accounting in the United Kingdom 2017/18</w:t>
      </w:r>
      <w:r w:rsidRPr="00C04193">
        <w:rPr>
          <w:szCs w:val="22"/>
        </w:rPr>
        <w:t xml:space="preserve"> are relatively straightforward when compared to the large number of changes in 2016/17. This will further aid the early closure of the accounts.</w:t>
      </w:r>
      <w:r w:rsidR="002966B9" w:rsidRPr="00C04193">
        <w:rPr>
          <w:szCs w:val="22"/>
        </w:rPr>
        <w:t xml:space="preserve"> The changes are highlighted below:</w:t>
      </w:r>
    </w:p>
    <w:p w:rsidR="002966B9" w:rsidRDefault="002966B9" w:rsidP="001467CC">
      <w:pPr>
        <w:ind w:left="720"/>
        <w:jc w:val="both"/>
        <w:rPr>
          <w:szCs w:val="2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3866"/>
        <w:gridCol w:w="3260"/>
      </w:tblGrid>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2966B9" w:rsidRPr="004609D0" w:rsidRDefault="002966B9" w:rsidP="001467CC">
            <w:pPr>
              <w:rPr>
                <w:rFonts w:cs="Arial"/>
                <w:b/>
                <w:szCs w:val="22"/>
              </w:rPr>
            </w:pPr>
            <w:r w:rsidRPr="004609D0">
              <w:rPr>
                <w:rFonts w:cs="Arial"/>
                <w:b/>
                <w:szCs w:val="22"/>
              </w:rPr>
              <w:t>Amendments</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rsidR="002966B9" w:rsidRPr="004609D0" w:rsidRDefault="002966B9" w:rsidP="001467CC">
            <w:pPr>
              <w:rPr>
                <w:rFonts w:cs="Arial"/>
                <w:b/>
                <w:szCs w:val="22"/>
              </w:rPr>
            </w:pPr>
            <w:r w:rsidRPr="004609D0">
              <w:rPr>
                <w:rFonts w:cs="Arial"/>
                <w:b/>
                <w:szCs w:val="22"/>
              </w:rPr>
              <w:t>Description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966B9" w:rsidRPr="004609D0" w:rsidRDefault="002966B9" w:rsidP="001467CC">
            <w:pPr>
              <w:jc w:val="both"/>
              <w:rPr>
                <w:rFonts w:cs="Arial"/>
                <w:b/>
                <w:szCs w:val="22"/>
              </w:rPr>
            </w:pPr>
            <w:r w:rsidRPr="004609D0">
              <w:rPr>
                <w:rFonts w:cs="Arial"/>
                <w:b/>
                <w:szCs w:val="22"/>
              </w:rPr>
              <w:t>Action</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color w:val="262626"/>
                <w:szCs w:val="22"/>
              </w:rPr>
              <w:t>Section 2.2 Community Infrastructure Levy</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Clarification of the treatment of</w:t>
            </w:r>
          </w:p>
          <w:p w:rsidR="002966B9" w:rsidRPr="004609D0" w:rsidRDefault="002966B9" w:rsidP="00817FD0">
            <w:pPr>
              <w:autoSpaceDE w:val="0"/>
              <w:autoSpaceDN w:val="0"/>
              <w:adjustRightInd w:val="0"/>
              <w:rPr>
                <w:rFonts w:cs="Arial"/>
                <w:color w:val="262626"/>
                <w:szCs w:val="22"/>
              </w:rPr>
            </w:pPr>
            <w:r w:rsidRPr="004609D0">
              <w:rPr>
                <w:rFonts w:cs="Arial"/>
                <w:color w:val="262626"/>
                <w:szCs w:val="22"/>
              </w:rPr>
              <w:t>revenue costs and any charges received before the</w:t>
            </w:r>
            <w:r w:rsidR="00817FD0">
              <w:rPr>
                <w:rFonts w:cs="Arial"/>
                <w:color w:val="262626"/>
                <w:szCs w:val="22"/>
              </w:rPr>
              <w:t xml:space="preserve"> </w:t>
            </w:r>
            <w:r w:rsidRPr="004609D0">
              <w:rPr>
                <w:rFonts w:cs="Arial"/>
                <w:color w:val="262626"/>
                <w:szCs w:val="22"/>
              </w:rPr>
              <w:t>commencement date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62451B">
            <w:pPr>
              <w:jc w:val="both"/>
              <w:rPr>
                <w:rFonts w:cs="Arial"/>
                <w:szCs w:val="22"/>
              </w:rPr>
            </w:pPr>
            <w:r w:rsidRPr="004609D0">
              <w:rPr>
                <w:rFonts w:cs="Arial"/>
                <w:szCs w:val="22"/>
              </w:rPr>
              <w:t xml:space="preserve">None </w:t>
            </w:r>
            <w:r w:rsidR="0062451B">
              <w:rPr>
                <w:rFonts w:cs="Arial"/>
                <w:szCs w:val="22"/>
              </w:rPr>
              <w:t>r</w:t>
            </w:r>
            <w:r w:rsidRPr="004609D0">
              <w:rPr>
                <w:rFonts w:cs="Arial"/>
                <w:szCs w:val="22"/>
              </w:rPr>
              <w:t>equired</w:t>
            </w:r>
            <w:r w:rsidR="0062451B">
              <w:rPr>
                <w:rFonts w:cs="Arial"/>
                <w:szCs w:val="22"/>
              </w:rPr>
              <w:t>,</w:t>
            </w:r>
            <w:r w:rsidRPr="004609D0">
              <w:rPr>
                <w:rFonts w:cs="Arial"/>
                <w:szCs w:val="22"/>
              </w:rPr>
              <w:t xml:space="preserve"> already accounted for as stated</w:t>
            </w:r>
            <w:r w:rsidR="00817FD0">
              <w:rPr>
                <w:rFonts w:cs="Arial"/>
                <w:szCs w:val="22"/>
              </w:rPr>
              <w: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Section 3.1 Narrative Reporting</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Introduce key reporting principles for the Narrative Report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jc w:val="both"/>
              <w:rPr>
                <w:rFonts w:cs="Arial"/>
                <w:szCs w:val="22"/>
              </w:rPr>
            </w:pPr>
            <w:r w:rsidRPr="004609D0">
              <w:rPr>
                <w:rFonts w:cs="Arial"/>
                <w:szCs w:val="22"/>
              </w:rPr>
              <w:t>Most principles already included, additional sections to be added where necessary</w:t>
            </w:r>
            <w:r w:rsidR="00817FD0">
              <w:rPr>
                <w:rFonts w:cs="Arial"/>
                <w:szCs w:val="22"/>
              </w:rPr>
              <w: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Section 3.4 Presentation of Financial Statements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szCs w:val="22"/>
              </w:rPr>
            </w:pPr>
            <w:r w:rsidRPr="004609D0">
              <w:rPr>
                <w:rFonts w:cs="Arial"/>
                <w:color w:val="262626"/>
                <w:szCs w:val="22"/>
              </w:rPr>
              <w:t>Clarification of the reporting requirements for accounting policies and going concern reporting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817FD0">
            <w:pPr>
              <w:jc w:val="both"/>
              <w:rPr>
                <w:rFonts w:cs="Arial"/>
                <w:szCs w:val="22"/>
              </w:rPr>
            </w:pPr>
            <w:r w:rsidRPr="004609D0">
              <w:rPr>
                <w:rFonts w:cs="Arial"/>
                <w:szCs w:val="22"/>
              </w:rPr>
              <w:t>Additional sections to be added with</w:t>
            </w:r>
            <w:r w:rsidR="00817FD0">
              <w:rPr>
                <w:rFonts w:cs="Arial"/>
                <w:szCs w:val="22"/>
              </w:rPr>
              <w:t xml:space="preserve"> </w:t>
            </w:r>
            <w:r w:rsidRPr="004609D0">
              <w:rPr>
                <w:rFonts w:cs="Arial"/>
                <w:szCs w:val="22"/>
              </w:rPr>
              <w:t>reference to financial resilience and sustainability</w:t>
            </w:r>
            <w:r w:rsidR="00817FD0">
              <w:rPr>
                <w:rFonts w:cs="Arial"/>
                <w:szCs w:val="22"/>
              </w:rPr>
              <w: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color w:val="262626"/>
                <w:szCs w:val="22"/>
              </w:rPr>
              <w:lastRenderedPageBreak/>
              <w:t>Section 3.5 Housing Revenue Account</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Directions 2016 disclosure requirements for English authorities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817FD0" w:rsidP="001467CC">
            <w:pPr>
              <w:jc w:val="both"/>
              <w:rPr>
                <w:rFonts w:cs="Arial"/>
                <w:szCs w:val="22"/>
              </w:rPr>
            </w:pPr>
            <w:r w:rsidRPr="00817FD0">
              <w:rPr>
                <w:rFonts w:cs="Arial"/>
                <w:szCs w:val="22"/>
              </w:rPr>
              <w:t>Not relevant.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Section 4.2 Lease and Lease Type Arrangements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Clarification of lease accounting relevant to Scottish authorities.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jc w:val="both"/>
              <w:rPr>
                <w:rFonts w:cs="Arial"/>
                <w:szCs w:val="22"/>
              </w:rPr>
            </w:pPr>
            <w:r w:rsidRPr="004609D0">
              <w:rPr>
                <w:rFonts w:cs="Arial"/>
                <w:szCs w:val="22"/>
              </w:rPr>
              <w:t>Not relevant.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Section 4.3 Service Concession Arrangements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Changes to disclosures in respect of PFI &amp; similar schemes relevant to Scottish authorities.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jc w:val="both"/>
              <w:rPr>
                <w:rFonts w:cs="Arial"/>
                <w:szCs w:val="22"/>
              </w:rPr>
            </w:pPr>
            <w:r w:rsidRPr="004609D0">
              <w:rPr>
                <w:rFonts w:cs="Arial"/>
                <w:szCs w:val="22"/>
              </w:rPr>
              <w:t>Not relevant.</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Section 7.4 Financial Instruments – Disclosure and Presentation Requirements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Amendments reflect Scottish regulations and provide clarification of disclosures.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jc w:val="both"/>
              <w:rPr>
                <w:rFonts w:cs="Arial"/>
                <w:szCs w:val="22"/>
              </w:rPr>
            </w:pPr>
            <w:r w:rsidRPr="004609D0">
              <w:rPr>
                <w:rFonts w:cs="Arial"/>
                <w:szCs w:val="22"/>
              </w:rPr>
              <w:t>No changes to financial reporting requirements.</w:t>
            </w:r>
          </w:p>
        </w:tc>
      </w:tr>
      <w:tr w:rsidR="002966B9" w:rsidRPr="004609D0" w:rsidTr="006F1494">
        <w:trPr>
          <w:jc w:val="center"/>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Section 6.5 Accounting and</w:t>
            </w:r>
          </w:p>
          <w:p w:rsidR="002966B9" w:rsidRPr="004609D0" w:rsidRDefault="002966B9" w:rsidP="001467CC">
            <w:pPr>
              <w:autoSpaceDE w:val="0"/>
              <w:autoSpaceDN w:val="0"/>
              <w:adjustRightInd w:val="0"/>
              <w:rPr>
                <w:rFonts w:cs="Arial"/>
                <w:color w:val="262626"/>
                <w:szCs w:val="22"/>
              </w:rPr>
            </w:pPr>
            <w:r w:rsidRPr="004609D0">
              <w:rPr>
                <w:rFonts w:cs="Arial"/>
                <w:color w:val="262626"/>
                <w:szCs w:val="22"/>
              </w:rPr>
              <w:t>Reporting by Pension Funds</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rPr>
                <w:rFonts w:cs="Arial"/>
                <w:szCs w:val="22"/>
              </w:rPr>
            </w:pPr>
            <w:r w:rsidRPr="004609D0">
              <w:rPr>
                <w:rFonts w:cs="Arial"/>
                <w:szCs w:val="22"/>
              </w:rPr>
              <w:t xml:space="preserve">Additional disclosures of pension fund investment management transaction costs.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6B9" w:rsidRPr="004609D0" w:rsidRDefault="002966B9" w:rsidP="001467CC">
            <w:pPr>
              <w:jc w:val="both"/>
              <w:rPr>
                <w:rFonts w:cs="Arial"/>
                <w:szCs w:val="22"/>
              </w:rPr>
            </w:pPr>
            <w:r w:rsidRPr="004609D0">
              <w:rPr>
                <w:rFonts w:cs="Arial"/>
                <w:szCs w:val="22"/>
              </w:rPr>
              <w:t>Not relevant</w:t>
            </w:r>
            <w:r w:rsidR="00817FD0">
              <w:rPr>
                <w:rFonts w:cs="Arial"/>
                <w:szCs w:val="22"/>
              </w:rPr>
              <w:t>.</w:t>
            </w:r>
          </w:p>
        </w:tc>
      </w:tr>
    </w:tbl>
    <w:p w:rsidR="00952C31" w:rsidRDefault="00952C31" w:rsidP="001467CC">
      <w:pPr>
        <w:ind w:left="720"/>
        <w:jc w:val="both"/>
        <w:rPr>
          <w:szCs w:val="22"/>
        </w:rPr>
      </w:pPr>
    </w:p>
    <w:p w:rsidR="00952C31" w:rsidRDefault="00952C31" w:rsidP="001467CC">
      <w:pPr>
        <w:numPr>
          <w:ilvl w:val="1"/>
          <w:numId w:val="8"/>
        </w:numPr>
        <w:jc w:val="both"/>
        <w:rPr>
          <w:szCs w:val="22"/>
        </w:rPr>
      </w:pPr>
      <w:r w:rsidRPr="002966B9">
        <w:rPr>
          <w:szCs w:val="22"/>
        </w:rPr>
        <w:t>The</w:t>
      </w:r>
      <w:r w:rsidR="002966B9" w:rsidRPr="002966B9">
        <w:rPr>
          <w:szCs w:val="22"/>
        </w:rPr>
        <w:t xml:space="preserve"> Shared Financial Services Team’s</w:t>
      </w:r>
      <w:r w:rsidR="001E1B68" w:rsidRPr="002966B9">
        <w:rPr>
          <w:szCs w:val="22"/>
        </w:rPr>
        <w:t xml:space="preserve"> </w:t>
      </w:r>
      <w:r w:rsidRPr="002966B9">
        <w:rPr>
          <w:szCs w:val="22"/>
        </w:rPr>
        <w:t xml:space="preserve">operational </w:t>
      </w:r>
      <w:r w:rsidR="001E1B68" w:rsidRPr="002966B9">
        <w:rPr>
          <w:szCs w:val="22"/>
        </w:rPr>
        <w:t xml:space="preserve">closure timetable has been </w:t>
      </w:r>
      <w:r w:rsidRPr="002966B9">
        <w:rPr>
          <w:szCs w:val="22"/>
        </w:rPr>
        <w:t>updated</w:t>
      </w:r>
      <w:r w:rsidR="001E1B68" w:rsidRPr="002966B9">
        <w:rPr>
          <w:szCs w:val="22"/>
        </w:rPr>
        <w:t xml:space="preserve"> </w:t>
      </w:r>
      <w:r w:rsidRPr="002966B9">
        <w:rPr>
          <w:szCs w:val="22"/>
        </w:rPr>
        <w:t xml:space="preserve">for </w:t>
      </w:r>
      <w:r w:rsidR="008E5E47">
        <w:rPr>
          <w:szCs w:val="22"/>
        </w:rPr>
        <w:t>2017/18</w:t>
      </w:r>
      <w:r w:rsidRPr="002966B9">
        <w:rPr>
          <w:szCs w:val="22"/>
        </w:rPr>
        <w:t xml:space="preserve"> </w:t>
      </w:r>
      <w:r w:rsidR="001E1B68" w:rsidRPr="002966B9">
        <w:rPr>
          <w:szCs w:val="22"/>
        </w:rPr>
        <w:t>with tasks allocated to relevant finance team members.</w:t>
      </w:r>
      <w:r w:rsidRPr="002966B9">
        <w:rPr>
          <w:szCs w:val="22"/>
        </w:rPr>
        <w:t xml:space="preserve"> A number of items have been identified as candidates for earlier completion and </w:t>
      </w:r>
      <w:r w:rsidR="00253320">
        <w:rPr>
          <w:szCs w:val="22"/>
        </w:rPr>
        <w:t xml:space="preserve">consultation </w:t>
      </w:r>
      <w:r w:rsidRPr="002966B9">
        <w:rPr>
          <w:szCs w:val="22"/>
        </w:rPr>
        <w:t>is underway with stakeholders regarding</w:t>
      </w:r>
      <w:r w:rsidR="006F1494">
        <w:rPr>
          <w:szCs w:val="22"/>
        </w:rPr>
        <w:t xml:space="preserve"> the</w:t>
      </w:r>
      <w:r w:rsidRPr="002966B9">
        <w:rPr>
          <w:szCs w:val="22"/>
        </w:rPr>
        <w:t xml:space="preserve"> </w:t>
      </w:r>
      <w:r w:rsidR="006F1494">
        <w:rPr>
          <w:szCs w:val="22"/>
        </w:rPr>
        <w:t xml:space="preserve">revised </w:t>
      </w:r>
      <w:r w:rsidRPr="002966B9">
        <w:rPr>
          <w:szCs w:val="22"/>
        </w:rPr>
        <w:t>deadlines before the timetable is finalised</w:t>
      </w:r>
      <w:r w:rsidR="002966B9">
        <w:rPr>
          <w:szCs w:val="22"/>
        </w:rPr>
        <w:t>.</w:t>
      </w:r>
      <w:r w:rsidR="006F1494">
        <w:rPr>
          <w:szCs w:val="22"/>
        </w:rPr>
        <w:t xml:space="preserve"> Some of </w:t>
      </w:r>
      <w:r w:rsidR="00253320">
        <w:rPr>
          <w:szCs w:val="22"/>
        </w:rPr>
        <w:t xml:space="preserve">the </w:t>
      </w:r>
      <w:r w:rsidR="006F1494">
        <w:rPr>
          <w:szCs w:val="22"/>
        </w:rPr>
        <w:t xml:space="preserve">additional </w:t>
      </w:r>
      <w:r w:rsidR="00253320">
        <w:rPr>
          <w:szCs w:val="22"/>
        </w:rPr>
        <w:t xml:space="preserve">changes </w:t>
      </w:r>
      <w:r w:rsidR="0054767E">
        <w:rPr>
          <w:szCs w:val="22"/>
        </w:rPr>
        <w:t>that</w:t>
      </w:r>
      <w:r w:rsidR="00253320">
        <w:rPr>
          <w:szCs w:val="22"/>
        </w:rPr>
        <w:t xml:space="preserve"> will aid the faster closure</w:t>
      </w:r>
      <w:r w:rsidR="005E6F5B">
        <w:rPr>
          <w:szCs w:val="22"/>
        </w:rPr>
        <w:t xml:space="preserve"> in 2017/18</w:t>
      </w:r>
      <w:r w:rsidR="00253320">
        <w:rPr>
          <w:szCs w:val="22"/>
        </w:rPr>
        <w:t xml:space="preserve"> are</w:t>
      </w:r>
      <w:r w:rsidR="005E6F5B">
        <w:rPr>
          <w:szCs w:val="22"/>
        </w:rPr>
        <w:t>:</w:t>
      </w:r>
    </w:p>
    <w:p w:rsidR="005E6F5B" w:rsidRDefault="005E6F5B" w:rsidP="001467CC">
      <w:pPr>
        <w:ind w:left="720"/>
        <w:jc w:val="both"/>
        <w:rPr>
          <w:szCs w:val="22"/>
        </w:rPr>
      </w:pPr>
    </w:p>
    <w:p w:rsidR="004609D0" w:rsidRPr="00253320" w:rsidRDefault="00253320" w:rsidP="001467CC">
      <w:pPr>
        <w:numPr>
          <w:ilvl w:val="1"/>
          <w:numId w:val="18"/>
        </w:numPr>
        <w:jc w:val="both"/>
        <w:rPr>
          <w:szCs w:val="22"/>
        </w:rPr>
      </w:pPr>
      <w:r w:rsidRPr="00253320">
        <w:rPr>
          <w:szCs w:val="22"/>
        </w:rPr>
        <w:t xml:space="preserve">Flexi, TOIL and leave </w:t>
      </w:r>
      <w:r w:rsidR="0054767E">
        <w:rPr>
          <w:szCs w:val="22"/>
        </w:rPr>
        <w:t xml:space="preserve">recorded on </w:t>
      </w:r>
      <w:r w:rsidR="006D5622">
        <w:rPr>
          <w:szCs w:val="22"/>
        </w:rPr>
        <w:t xml:space="preserve">the </w:t>
      </w:r>
      <w:r w:rsidR="0054767E">
        <w:rPr>
          <w:szCs w:val="22"/>
        </w:rPr>
        <w:t xml:space="preserve">corporate </w:t>
      </w:r>
      <w:r w:rsidRPr="00253320">
        <w:rPr>
          <w:szCs w:val="22"/>
        </w:rPr>
        <w:t>system</w:t>
      </w:r>
    </w:p>
    <w:p w:rsidR="004609D0" w:rsidRPr="00253320" w:rsidRDefault="005E6F5B" w:rsidP="001467CC">
      <w:pPr>
        <w:numPr>
          <w:ilvl w:val="1"/>
          <w:numId w:val="18"/>
        </w:numPr>
        <w:jc w:val="both"/>
        <w:rPr>
          <w:szCs w:val="22"/>
        </w:rPr>
      </w:pPr>
      <w:r>
        <w:rPr>
          <w:szCs w:val="22"/>
        </w:rPr>
        <w:t>Further</w:t>
      </w:r>
      <w:r w:rsidR="00253320" w:rsidRPr="00253320">
        <w:rPr>
          <w:szCs w:val="22"/>
        </w:rPr>
        <w:t xml:space="preserve"> use of Asset Accounting module</w:t>
      </w:r>
    </w:p>
    <w:p w:rsidR="004609D0" w:rsidRPr="00253320" w:rsidRDefault="00253320" w:rsidP="001467CC">
      <w:pPr>
        <w:numPr>
          <w:ilvl w:val="1"/>
          <w:numId w:val="18"/>
        </w:numPr>
        <w:jc w:val="both"/>
        <w:rPr>
          <w:szCs w:val="22"/>
        </w:rPr>
      </w:pPr>
      <w:r w:rsidRPr="00253320">
        <w:rPr>
          <w:szCs w:val="22"/>
        </w:rPr>
        <w:t>New timetable for Budget Outturn Report</w:t>
      </w:r>
      <w:r w:rsidR="0054767E">
        <w:rPr>
          <w:szCs w:val="22"/>
        </w:rPr>
        <w:t xml:space="preserve"> approval to ensure </w:t>
      </w:r>
      <w:r w:rsidR="006D5622">
        <w:rPr>
          <w:szCs w:val="22"/>
        </w:rPr>
        <w:t>a timely feed-in</w:t>
      </w:r>
      <w:r w:rsidR="0054767E">
        <w:rPr>
          <w:szCs w:val="22"/>
        </w:rPr>
        <w:t xml:space="preserve"> for inclusion in the accounts</w:t>
      </w:r>
    </w:p>
    <w:p w:rsidR="0062451B" w:rsidRPr="0062451B" w:rsidRDefault="00253320" w:rsidP="0062451B">
      <w:pPr>
        <w:numPr>
          <w:ilvl w:val="1"/>
          <w:numId w:val="18"/>
        </w:numPr>
        <w:jc w:val="both"/>
        <w:rPr>
          <w:szCs w:val="22"/>
        </w:rPr>
      </w:pPr>
      <w:r w:rsidRPr="00253320">
        <w:rPr>
          <w:szCs w:val="22"/>
        </w:rPr>
        <w:t>Shorter</w:t>
      </w:r>
      <w:r w:rsidR="0054767E">
        <w:rPr>
          <w:szCs w:val="22"/>
        </w:rPr>
        <w:t xml:space="preserve"> timetable for n</w:t>
      </w:r>
      <w:r w:rsidRPr="00253320">
        <w:rPr>
          <w:szCs w:val="22"/>
        </w:rPr>
        <w:t>on-financi</w:t>
      </w:r>
      <w:r w:rsidR="0054767E">
        <w:rPr>
          <w:szCs w:val="22"/>
        </w:rPr>
        <w:t>al performance reporting to feed into the Narrative Report</w:t>
      </w:r>
      <w:r w:rsidR="00040039">
        <w:rPr>
          <w:szCs w:val="22"/>
        </w:rPr>
        <w:t xml:space="preserve"> in the Statement of Accounts</w:t>
      </w:r>
    </w:p>
    <w:p w:rsidR="00040039" w:rsidRDefault="00040039" w:rsidP="001467CC">
      <w:pPr>
        <w:numPr>
          <w:ilvl w:val="1"/>
          <w:numId w:val="18"/>
        </w:numPr>
        <w:jc w:val="both"/>
        <w:rPr>
          <w:szCs w:val="22"/>
        </w:rPr>
      </w:pPr>
      <w:r>
        <w:rPr>
          <w:szCs w:val="22"/>
        </w:rPr>
        <w:t>Preparing a number of working papers and notes early, e.g. Related Party Transactions,</w:t>
      </w:r>
      <w:r w:rsidR="00C41F22">
        <w:rPr>
          <w:szCs w:val="22"/>
        </w:rPr>
        <w:t xml:space="preserve"> Finance Lease, Members Allowances, Officers Remuneration, External Audit Costs</w:t>
      </w:r>
    </w:p>
    <w:p w:rsidR="00C41F22" w:rsidRPr="00253320" w:rsidRDefault="00C41F22" w:rsidP="001467CC">
      <w:pPr>
        <w:jc w:val="both"/>
        <w:rPr>
          <w:szCs w:val="22"/>
        </w:rPr>
      </w:pPr>
    </w:p>
    <w:p w:rsidR="006531EE" w:rsidRDefault="00C41F22" w:rsidP="001467CC">
      <w:pPr>
        <w:numPr>
          <w:ilvl w:val="1"/>
          <w:numId w:val="8"/>
        </w:numPr>
        <w:jc w:val="both"/>
        <w:rPr>
          <w:szCs w:val="22"/>
        </w:rPr>
      </w:pPr>
      <w:r>
        <w:rPr>
          <w:szCs w:val="22"/>
        </w:rPr>
        <w:t xml:space="preserve">As outlined above, </w:t>
      </w:r>
      <w:r w:rsidR="0062451B">
        <w:rPr>
          <w:szCs w:val="22"/>
        </w:rPr>
        <w:t xml:space="preserve">the </w:t>
      </w:r>
      <w:r>
        <w:rPr>
          <w:szCs w:val="22"/>
        </w:rPr>
        <w:t xml:space="preserve">Shared Financial Services </w:t>
      </w:r>
      <w:r w:rsidR="0062451B">
        <w:rPr>
          <w:szCs w:val="22"/>
        </w:rPr>
        <w:t xml:space="preserve">Team </w:t>
      </w:r>
      <w:r>
        <w:rPr>
          <w:szCs w:val="22"/>
        </w:rPr>
        <w:t>pr</w:t>
      </w:r>
      <w:r w:rsidR="0062451B">
        <w:rPr>
          <w:szCs w:val="22"/>
        </w:rPr>
        <w:t>epare</w:t>
      </w:r>
      <w:r>
        <w:rPr>
          <w:szCs w:val="22"/>
        </w:rPr>
        <w:t xml:space="preserve"> a detailed operation</w:t>
      </w:r>
      <w:r w:rsidR="0062451B">
        <w:rPr>
          <w:szCs w:val="22"/>
        </w:rPr>
        <w:t>al</w:t>
      </w:r>
      <w:r>
        <w:rPr>
          <w:szCs w:val="22"/>
        </w:rPr>
        <w:t xml:space="preserve"> timetable</w:t>
      </w:r>
      <w:r w:rsidR="0062451B">
        <w:rPr>
          <w:szCs w:val="22"/>
        </w:rPr>
        <w:t xml:space="preserve"> for the closure of accounts process,</w:t>
      </w:r>
      <w:r>
        <w:rPr>
          <w:szCs w:val="22"/>
        </w:rPr>
        <w:t xml:space="preserve"> with resources identified and tasks allocated to individual officers. This operational plan </w:t>
      </w:r>
      <w:r w:rsidR="008E5E47">
        <w:rPr>
          <w:szCs w:val="22"/>
        </w:rPr>
        <w:t xml:space="preserve">is further </w:t>
      </w:r>
      <w:r>
        <w:rPr>
          <w:szCs w:val="22"/>
        </w:rPr>
        <w:t>broken down and supplemented in many areas</w:t>
      </w:r>
      <w:r w:rsidR="008E5E47">
        <w:rPr>
          <w:szCs w:val="22"/>
        </w:rPr>
        <w:t xml:space="preserve"> of work</w:t>
      </w:r>
      <w:r>
        <w:rPr>
          <w:szCs w:val="22"/>
        </w:rPr>
        <w:t>, such as</w:t>
      </w:r>
      <w:r w:rsidR="008E5E47">
        <w:rPr>
          <w:szCs w:val="22"/>
        </w:rPr>
        <w:t xml:space="preserve"> the</w:t>
      </w:r>
      <w:r>
        <w:rPr>
          <w:szCs w:val="22"/>
        </w:rPr>
        <w:t xml:space="preserve"> financial systems year end and </w:t>
      </w:r>
      <w:r w:rsidR="008E5E47">
        <w:rPr>
          <w:szCs w:val="22"/>
        </w:rPr>
        <w:t xml:space="preserve">the </w:t>
      </w:r>
      <w:r>
        <w:rPr>
          <w:szCs w:val="22"/>
        </w:rPr>
        <w:t xml:space="preserve">accruals of income and expenditure, </w:t>
      </w:r>
      <w:r w:rsidR="008E5E47">
        <w:rPr>
          <w:szCs w:val="22"/>
        </w:rPr>
        <w:t>with</w:t>
      </w:r>
      <w:r>
        <w:rPr>
          <w:szCs w:val="22"/>
        </w:rPr>
        <w:t xml:space="preserve"> additional detailed guidance and individual </w:t>
      </w:r>
      <w:r w:rsidR="008E5E47">
        <w:rPr>
          <w:szCs w:val="22"/>
        </w:rPr>
        <w:t xml:space="preserve">task </w:t>
      </w:r>
      <w:r>
        <w:rPr>
          <w:szCs w:val="22"/>
        </w:rPr>
        <w:t>timetables. These</w:t>
      </w:r>
      <w:r w:rsidR="006F1494">
        <w:rPr>
          <w:szCs w:val="22"/>
        </w:rPr>
        <w:t xml:space="preserve"> timetables and guidance notes</w:t>
      </w:r>
      <w:r w:rsidR="006531EE">
        <w:rPr>
          <w:szCs w:val="22"/>
        </w:rPr>
        <w:t xml:space="preserve"> are distributed to </w:t>
      </w:r>
      <w:r w:rsidR="0062451B">
        <w:rPr>
          <w:szCs w:val="22"/>
        </w:rPr>
        <w:t xml:space="preserve">relevant </w:t>
      </w:r>
      <w:r w:rsidR="006531EE">
        <w:rPr>
          <w:szCs w:val="22"/>
        </w:rPr>
        <w:t xml:space="preserve">services and published on the Council’s intranet and have been backed up with training sessions. </w:t>
      </w:r>
    </w:p>
    <w:p w:rsidR="006531EE" w:rsidRDefault="006531EE" w:rsidP="001467CC">
      <w:pPr>
        <w:ind w:left="720"/>
        <w:jc w:val="both"/>
        <w:rPr>
          <w:szCs w:val="22"/>
        </w:rPr>
      </w:pPr>
    </w:p>
    <w:p w:rsidR="00253320" w:rsidRDefault="006531EE" w:rsidP="001467CC">
      <w:pPr>
        <w:numPr>
          <w:ilvl w:val="1"/>
          <w:numId w:val="8"/>
        </w:numPr>
        <w:jc w:val="both"/>
        <w:rPr>
          <w:szCs w:val="22"/>
        </w:rPr>
      </w:pPr>
      <w:r>
        <w:rPr>
          <w:szCs w:val="22"/>
        </w:rPr>
        <w:t>As requested by Governance Committee in November, the detailed operational Closure of Accounts Timetable is included at Appendix A. It must be stressed that this is an internal document</w:t>
      </w:r>
      <w:r w:rsidR="006F1494">
        <w:rPr>
          <w:szCs w:val="22"/>
        </w:rPr>
        <w:t xml:space="preserve"> and therefore contains terms and abbreviations that will mean very little to Members</w:t>
      </w:r>
      <w:r w:rsidR="00C04193">
        <w:rPr>
          <w:szCs w:val="22"/>
        </w:rPr>
        <w:t xml:space="preserve"> but is provided to demonstrate the extent to</w:t>
      </w:r>
      <w:r w:rsidR="001E1B24">
        <w:rPr>
          <w:szCs w:val="22"/>
        </w:rPr>
        <w:t xml:space="preserve"> </w:t>
      </w:r>
      <w:r w:rsidR="00C04193">
        <w:rPr>
          <w:szCs w:val="22"/>
        </w:rPr>
        <w:t>which th</w:t>
      </w:r>
      <w:r w:rsidR="0062451B">
        <w:rPr>
          <w:szCs w:val="22"/>
        </w:rPr>
        <w:t>is</w:t>
      </w:r>
      <w:r w:rsidR="00C04193">
        <w:rPr>
          <w:szCs w:val="22"/>
        </w:rPr>
        <w:t xml:space="preserve"> critical activity is planned an</w:t>
      </w:r>
      <w:r w:rsidR="001E1B24">
        <w:rPr>
          <w:szCs w:val="22"/>
        </w:rPr>
        <w:t>d</w:t>
      </w:r>
      <w:r w:rsidR="00C04193">
        <w:rPr>
          <w:szCs w:val="22"/>
        </w:rPr>
        <w:t xml:space="preserve"> managed</w:t>
      </w:r>
      <w:r w:rsidR="001E1B24">
        <w:rPr>
          <w:szCs w:val="22"/>
        </w:rPr>
        <w:t>. It</w:t>
      </w:r>
      <w:r w:rsidR="006F1494">
        <w:rPr>
          <w:szCs w:val="22"/>
        </w:rPr>
        <w:t xml:space="preserve"> also</w:t>
      </w:r>
      <w:r w:rsidR="001E1B24">
        <w:rPr>
          <w:szCs w:val="22"/>
        </w:rPr>
        <w:t xml:space="preserve"> must be noted that</w:t>
      </w:r>
      <w:r w:rsidR="006F1494">
        <w:rPr>
          <w:szCs w:val="22"/>
        </w:rPr>
        <w:t>, currently,</w:t>
      </w:r>
      <w:r w:rsidR="001E1B24">
        <w:rPr>
          <w:szCs w:val="22"/>
        </w:rPr>
        <w:t xml:space="preserve"> the timetable is</w:t>
      </w:r>
      <w:r w:rsidR="006F1494">
        <w:rPr>
          <w:szCs w:val="22"/>
        </w:rPr>
        <w:t xml:space="preserve"> on</w:t>
      </w:r>
      <w:r>
        <w:rPr>
          <w:szCs w:val="22"/>
        </w:rPr>
        <w:t xml:space="preserve">ly </w:t>
      </w:r>
      <w:r w:rsidR="006F1494">
        <w:rPr>
          <w:szCs w:val="22"/>
        </w:rPr>
        <w:t>at the draft stage</w:t>
      </w:r>
      <w:r>
        <w:rPr>
          <w:szCs w:val="22"/>
        </w:rPr>
        <w:t xml:space="preserve"> </w:t>
      </w:r>
      <w:r w:rsidR="009E7F5A">
        <w:rPr>
          <w:szCs w:val="22"/>
        </w:rPr>
        <w:t xml:space="preserve">so still </w:t>
      </w:r>
      <w:r>
        <w:rPr>
          <w:szCs w:val="22"/>
        </w:rPr>
        <w:t xml:space="preserve">subject to </w:t>
      </w:r>
      <w:r w:rsidR="0062451B">
        <w:rPr>
          <w:szCs w:val="22"/>
        </w:rPr>
        <w:t xml:space="preserve">the </w:t>
      </w:r>
      <w:r>
        <w:rPr>
          <w:szCs w:val="22"/>
        </w:rPr>
        <w:t>agreement</w:t>
      </w:r>
      <w:r w:rsidR="0062451B">
        <w:rPr>
          <w:szCs w:val="22"/>
        </w:rPr>
        <w:t>,</w:t>
      </w:r>
      <w:r>
        <w:rPr>
          <w:szCs w:val="22"/>
        </w:rPr>
        <w:t xml:space="preserve"> </w:t>
      </w:r>
      <w:r w:rsidR="009E7F5A">
        <w:rPr>
          <w:szCs w:val="22"/>
        </w:rPr>
        <w:t>or notification</w:t>
      </w:r>
      <w:r w:rsidR="0062451B">
        <w:rPr>
          <w:szCs w:val="22"/>
        </w:rPr>
        <w:t>,</w:t>
      </w:r>
      <w:r w:rsidR="009E7F5A">
        <w:rPr>
          <w:szCs w:val="22"/>
        </w:rPr>
        <w:t xml:space="preserve"> of </w:t>
      </w:r>
      <w:r>
        <w:rPr>
          <w:szCs w:val="22"/>
        </w:rPr>
        <w:t>a number of key dates</w:t>
      </w:r>
      <w:r w:rsidR="009E7F5A">
        <w:rPr>
          <w:szCs w:val="22"/>
        </w:rPr>
        <w:t xml:space="preserve">. </w:t>
      </w:r>
      <w:r w:rsidR="001E1B24">
        <w:rPr>
          <w:szCs w:val="22"/>
        </w:rPr>
        <w:t>Furthermore, i</w:t>
      </w:r>
      <w:r w:rsidR="009E7F5A">
        <w:rPr>
          <w:szCs w:val="22"/>
        </w:rPr>
        <w:t>t is also</w:t>
      </w:r>
      <w:r>
        <w:rPr>
          <w:szCs w:val="22"/>
        </w:rPr>
        <w:t xml:space="preserve"> a live document that constantly changes </w:t>
      </w:r>
      <w:r w:rsidR="009E7F5A">
        <w:rPr>
          <w:szCs w:val="22"/>
        </w:rPr>
        <w:t>throughout</w:t>
      </w:r>
      <w:r>
        <w:rPr>
          <w:szCs w:val="22"/>
        </w:rPr>
        <w:t xml:space="preserve"> the closure of accounts process</w:t>
      </w:r>
      <w:r w:rsidR="001E1B24">
        <w:rPr>
          <w:szCs w:val="22"/>
        </w:rPr>
        <w:t>. For example,</w:t>
      </w:r>
      <w:r w:rsidR="009E7F5A">
        <w:rPr>
          <w:szCs w:val="22"/>
        </w:rPr>
        <w:t xml:space="preserve"> actual completion dates </w:t>
      </w:r>
      <w:r w:rsidR="001E1B24">
        <w:rPr>
          <w:szCs w:val="22"/>
        </w:rPr>
        <w:t xml:space="preserve">are </w:t>
      </w:r>
      <w:r w:rsidR="009E7F5A">
        <w:rPr>
          <w:szCs w:val="22"/>
        </w:rPr>
        <w:t>recorded for monitoring</w:t>
      </w:r>
      <w:r w:rsidR="001E1B24">
        <w:rPr>
          <w:szCs w:val="22"/>
        </w:rPr>
        <w:t xml:space="preserve"> purposes</w:t>
      </w:r>
      <w:r>
        <w:rPr>
          <w:szCs w:val="22"/>
        </w:rPr>
        <w:t xml:space="preserve">. </w:t>
      </w:r>
      <w:r w:rsidR="00B57841">
        <w:rPr>
          <w:szCs w:val="22"/>
        </w:rPr>
        <w:t xml:space="preserve">The timetable contains over two hundred individual tasks </w:t>
      </w:r>
      <w:r w:rsidR="00B57841">
        <w:rPr>
          <w:szCs w:val="22"/>
        </w:rPr>
        <w:lastRenderedPageBreak/>
        <w:t>and t</w:t>
      </w:r>
      <w:r>
        <w:rPr>
          <w:szCs w:val="22"/>
        </w:rPr>
        <w:t xml:space="preserve">he version provided </w:t>
      </w:r>
      <w:r w:rsidR="009E7F5A">
        <w:rPr>
          <w:szCs w:val="22"/>
        </w:rPr>
        <w:t xml:space="preserve">at Appendix A </w:t>
      </w:r>
      <w:r>
        <w:rPr>
          <w:szCs w:val="22"/>
        </w:rPr>
        <w:t>is</w:t>
      </w:r>
      <w:r w:rsidR="008E5E47">
        <w:rPr>
          <w:szCs w:val="22"/>
        </w:rPr>
        <w:t xml:space="preserve"> presented in the </w:t>
      </w:r>
      <w:r>
        <w:rPr>
          <w:szCs w:val="22"/>
        </w:rPr>
        <w:t>task</w:t>
      </w:r>
      <w:r w:rsidR="008E5E47">
        <w:rPr>
          <w:szCs w:val="22"/>
        </w:rPr>
        <w:t>-</w:t>
      </w:r>
      <w:r>
        <w:rPr>
          <w:szCs w:val="22"/>
        </w:rPr>
        <w:t xml:space="preserve">based view where tasks are grouped together in themes or areas of work. The timetable is also </w:t>
      </w:r>
      <w:r w:rsidR="009E7F5A">
        <w:rPr>
          <w:szCs w:val="22"/>
        </w:rPr>
        <w:t>used in a date view</w:t>
      </w:r>
      <w:r w:rsidR="008E5E47">
        <w:rPr>
          <w:szCs w:val="22"/>
        </w:rPr>
        <w:t>,</w:t>
      </w:r>
      <w:r w:rsidR="009E7F5A">
        <w:rPr>
          <w:szCs w:val="22"/>
        </w:rPr>
        <w:t xml:space="preserve"> ordering all tasks in date order</w:t>
      </w:r>
      <w:r w:rsidR="008E5E47">
        <w:rPr>
          <w:szCs w:val="22"/>
        </w:rPr>
        <w:t xml:space="preserve"> which</w:t>
      </w:r>
      <w:r w:rsidR="009E7F5A">
        <w:rPr>
          <w:szCs w:val="22"/>
        </w:rPr>
        <w:t xml:space="preserve"> allows progress monitoring throughout the closure process. A </w:t>
      </w:r>
      <w:r w:rsidR="008E5E47">
        <w:rPr>
          <w:szCs w:val="22"/>
        </w:rPr>
        <w:t xml:space="preserve">further </w:t>
      </w:r>
      <w:r w:rsidR="009E7F5A">
        <w:rPr>
          <w:szCs w:val="22"/>
        </w:rPr>
        <w:t xml:space="preserve">resource view is also </w:t>
      </w:r>
      <w:r w:rsidR="008E5E47">
        <w:rPr>
          <w:szCs w:val="22"/>
        </w:rPr>
        <w:t>utilised</w:t>
      </w:r>
      <w:r w:rsidR="009E7F5A">
        <w:rPr>
          <w:szCs w:val="22"/>
        </w:rPr>
        <w:t>, where all tasks are grouped by the officer responsible to allow individual workload and resource clashes to be identified. An extract is included below</w:t>
      </w:r>
      <w:r w:rsidR="008E5E47">
        <w:rPr>
          <w:szCs w:val="22"/>
        </w:rPr>
        <w:t xml:space="preserve"> </w:t>
      </w:r>
      <w:r w:rsidR="00FC3332">
        <w:rPr>
          <w:szCs w:val="22"/>
        </w:rPr>
        <w:t>showing many of the tasks associated with producing the Collection Fund and completing the NNDR3 and Council Tax returns for submission to external bodies. The extract clearly shows</w:t>
      </w:r>
      <w:r w:rsidR="008E5E47">
        <w:rPr>
          <w:szCs w:val="22"/>
        </w:rPr>
        <w:t xml:space="preserve"> detailed individual tasks, target dates, assigned responsibilities and relevant notes</w:t>
      </w:r>
      <w:r w:rsidR="00FC3332">
        <w:rPr>
          <w:szCs w:val="22"/>
        </w:rPr>
        <w:t xml:space="preserve"> for consideration</w:t>
      </w:r>
      <w:r w:rsidR="008E5E47">
        <w:rPr>
          <w:szCs w:val="22"/>
        </w:rPr>
        <w:t>.</w:t>
      </w:r>
      <w:r w:rsidR="00FC3332">
        <w:rPr>
          <w:szCs w:val="22"/>
        </w:rPr>
        <w:t xml:space="preserve"> </w:t>
      </w:r>
    </w:p>
    <w:p w:rsidR="009E7F5A" w:rsidRDefault="00641B4A" w:rsidP="001467CC">
      <w:pPr>
        <w:pStyle w:val="ListParagraph"/>
        <w:jc w:val="both"/>
      </w:pPr>
      <w:r>
        <w:rPr>
          <w:noProof/>
          <w:lang w:eastAsia="en-GB"/>
        </w:rPr>
        <w:drawing>
          <wp:anchor distT="0" distB="0" distL="114300" distR="114300" simplePos="0" relativeHeight="251658240" behindDoc="0" locked="0" layoutInCell="1" allowOverlap="1">
            <wp:simplePos x="0" y="0"/>
            <wp:positionH relativeFrom="column">
              <wp:posOffset>-173355</wp:posOffset>
            </wp:positionH>
            <wp:positionV relativeFrom="paragraph">
              <wp:posOffset>91440</wp:posOffset>
            </wp:positionV>
            <wp:extent cx="6635115" cy="13620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11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F5A" w:rsidRDefault="009E7F5A" w:rsidP="001467CC">
      <w:pPr>
        <w:jc w:val="both"/>
        <w:rPr>
          <w:szCs w:val="22"/>
        </w:rPr>
      </w:pPr>
    </w:p>
    <w:p w:rsidR="009E7F5A" w:rsidRDefault="009E7F5A" w:rsidP="001467CC">
      <w:pPr>
        <w:jc w:val="both"/>
        <w:rPr>
          <w:szCs w:val="22"/>
        </w:rPr>
      </w:pPr>
    </w:p>
    <w:p w:rsidR="009E7F5A" w:rsidRDefault="009E7F5A" w:rsidP="001467CC">
      <w:pPr>
        <w:jc w:val="both"/>
        <w:rPr>
          <w:szCs w:val="22"/>
        </w:rPr>
      </w:pPr>
    </w:p>
    <w:p w:rsidR="009E7F5A" w:rsidRDefault="009E7F5A" w:rsidP="001467CC">
      <w:pPr>
        <w:pStyle w:val="ListParagraph"/>
        <w:jc w:val="both"/>
      </w:pPr>
    </w:p>
    <w:p w:rsidR="009E7F5A" w:rsidRDefault="009E7F5A" w:rsidP="001467CC">
      <w:pPr>
        <w:pStyle w:val="ListParagraph"/>
        <w:jc w:val="both"/>
      </w:pPr>
    </w:p>
    <w:p w:rsidR="009E7F5A" w:rsidRDefault="009E7F5A" w:rsidP="001467CC">
      <w:pPr>
        <w:pStyle w:val="ListParagraph"/>
        <w:jc w:val="both"/>
      </w:pPr>
    </w:p>
    <w:p w:rsidR="009E7F5A" w:rsidRDefault="009E7F5A" w:rsidP="001467CC">
      <w:pPr>
        <w:pStyle w:val="ListParagraph"/>
        <w:jc w:val="both"/>
      </w:pPr>
    </w:p>
    <w:p w:rsidR="001E1B68" w:rsidRPr="00314816" w:rsidRDefault="006F1494" w:rsidP="001467CC">
      <w:pPr>
        <w:numPr>
          <w:ilvl w:val="1"/>
          <w:numId w:val="8"/>
        </w:numPr>
        <w:jc w:val="both"/>
        <w:rPr>
          <w:szCs w:val="22"/>
        </w:rPr>
      </w:pPr>
      <w:r>
        <w:rPr>
          <w:szCs w:val="22"/>
        </w:rPr>
        <w:t>Further to our own preparations for the 2017/18 closure of accounts process, t</w:t>
      </w:r>
      <w:r w:rsidR="00B36135">
        <w:rPr>
          <w:szCs w:val="22"/>
        </w:rPr>
        <w:t xml:space="preserve">he </w:t>
      </w:r>
      <w:r w:rsidR="008E5E47">
        <w:rPr>
          <w:szCs w:val="22"/>
        </w:rPr>
        <w:t xml:space="preserve">Shared Financial Services Team have </w:t>
      </w:r>
      <w:r w:rsidR="0062451B">
        <w:rPr>
          <w:szCs w:val="22"/>
        </w:rPr>
        <w:t xml:space="preserve">also </w:t>
      </w:r>
      <w:r w:rsidR="008E5E47">
        <w:rPr>
          <w:szCs w:val="22"/>
        </w:rPr>
        <w:t xml:space="preserve">met with the external auditors, Grant Thornton, to agree some measures to assist in expediting the audit process. These include </w:t>
      </w:r>
      <w:r w:rsidR="00B36135">
        <w:rPr>
          <w:szCs w:val="22"/>
        </w:rPr>
        <w:t xml:space="preserve">agreeing mutually suitable dates for the interim audit, </w:t>
      </w:r>
      <w:r w:rsidR="006D5622">
        <w:rPr>
          <w:szCs w:val="22"/>
        </w:rPr>
        <w:t xml:space="preserve">committing to the </w:t>
      </w:r>
      <w:r w:rsidR="00B36135">
        <w:rPr>
          <w:szCs w:val="22"/>
        </w:rPr>
        <w:t xml:space="preserve">completion of early testing of some transactions and balances, provision of a </w:t>
      </w:r>
      <w:r w:rsidR="0062451B">
        <w:rPr>
          <w:szCs w:val="22"/>
        </w:rPr>
        <w:t xml:space="preserve">detailed </w:t>
      </w:r>
      <w:r w:rsidR="00B36135">
        <w:rPr>
          <w:szCs w:val="22"/>
        </w:rPr>
        <w:t xml:space="preserve">working paper </w:t>
      </w:r>
      <w:r w:rsidR="0062451B">
        <w:rPr>
          <w:szCs w:val="22"/>
        </w:rPr>
        <w:t xml:space="preserve">requirements </w:t>
      </w:r>
      <w:r w:rsidR="00B36135">
        <w:rPr>
          <w:szCs w:val="22"/>
        </w:rPr>
        <w:t>list and specified</w:t>
      </w:r>
      <w:r w:rsidR="006D5622">
        <w:rPr>
          <w:szCs w:val="22"/>
        </w:rPr>
        <w:t xml:space="preserve"> working paper </w:t>
      </w:r>
      <w:r w:rsidR="00B36135">
        <w:rPr>
          <w:szCs w:val="22"/>
        </w:rPr>
        <w:t>format</w:t>
      </w:r>
      <w:r w:rsidR="006D5622">
        <w:rPr>
          <w:szCs w:val="22"/>
        </w:rPr>
        <w:t>s</w:t>
      </w:r>
      <w:r w:rsidR="00B36135">
        <w:rPr>
          <w:szCs w:val="22"/>
        </w:rPr>
        <w:t>, agreement of data formats</w:t>
      </w:r>
      <w:r>
        <w:rPr>
          <w:szCs w:val="22"/>
        </w:rPr>
        <w:t xml:space="preserve"> in advance of the audit</w:t>
      </w:r>
      <w:r w:rsidR="00B36135">
        <w:rPr>
          <w:szCs w:val="22"/>
        </w:rPr>
        <w:t>, and a commitment to address any technical issues early and agree a response timeframe for request for information.</w:t>
      </w:r>
    </w:p>
    <w:p w:rsidR="001E1B68" w:rsidRDefault="001E1B68" w:rsidP="001467CC">
      <w:pPr>
        <w:ind w:left="360"/>
        <w:jc w:val="both"/>
        <w:rPr>
          <w:b/>
          <w:szCs w:val="22"/>
        </w:rPr>
      </w:pPr>
    </w:p>
    <w:p w:rsidR="00044B96" w:rsidRDefault="00044B96" w:rsidP="001467CC">
      <w:pPr>
        <w:jc w:val="both"/>
        <w:rPr>
          <w:b/>
          <w:szCs w:val="22"/>
        </w:rPr>
      </w:pPr>
    </w:p>
    <w:p w:rsidR="00044B96" w:rsidRDefault="00044B96" w:rsidP="001467CC">
      <w:pPr>
        <w:numPr>
          <w:ilvl w:val="0"/>
          <w:numId w:val="8"/>
        </w:numPr>
        <w:jc w:val="both"/>
        <w:rPr>
          <w:b/>
          <w:szCs w:val="22"/>
        </w:rPr>
      </w:pPr>
      <w:r>
        <w:rPr>
          <w:b/>
          <w:szCs w:val="22"/>
        </w:rPr>
        <w:t>KEY RISKS</w:t>
      </w:r>
      <w:r w:rsidR="00314816">
        <w:rPr>
          <w:b/>
          <w:szCs w:val="22"/>
        </w:rPr>
        <w:t xml:space="preserve"> TO THE CLOSURE OF ACCOUNTS PROCESS</w:t>
      </w:r>
      <w:r w:rsidR="001E1B24">
        <w:rPr>
          <w:b/>
          <w:szCs w:val="22"/>
        </w:rPr>
        <w:t xml:space="preserve"> 2017/18</w:t>
      </w:r>
    </w:p>
    <w:p w:rsidR="00044B96" w:rsidRDefault="00044B96" w:rsidP="001467CC">
      <w:pPr>
        <w:ind w:left="360"/>
        <w:jc w:val="both"/>
        <w:rPr>
          <w:b/>
          <w:szCs w:val="22"/>
        </w:rPr>
      </w:pPr>
    </w:p>
    <w:p w:rsidR="00044B96" w:rsidRDefault="00314816" w:rsidP="001467CC">
      <w:pPr>
        <w:numPr>
          <w:ilvl w:val="1"/>
          <w:numId w:val="8"/>
        </w:numPr>
        <w:jc w:val="both"/>
        <w:rPr>
          <w:szCs w:val="22"/>
        </w:rPr>
      </w:pPr>
      <w:r>
        <w:rPr>
          <w:szCs w:val="22"/>
        </w:rPr>
        <w:t xml:space="preserve">It goes without saying that adequately resourcing the closure of accounts process is key to its successful delivery. Resources have been assigned in line with the allocations </w:t>
      </w:r>
      <w:r w:rsidR="00646967">
        <w:rPr>
          <w:szCs w:val="22"/>
        </w:rPr>
        <w:t>for</w:t>
      </w:r>
      <w:r>
        <w:rPr>
          <w:szCs w:val="22"/>
        </w:rPr>
        <w:t xml:space="preserve"> our successful practice run, but any changes to those resource levels could put the successful delivery of the 2017/18 Statement of Accounts at risk and will need to be monitored</w:t>
      </w:r>
      <w:r w:rsidR="00646967">
        <w:rPr>
          <w:szCs w:val="22"/>
        </w:rPr>
        <w:t xml:space="preserve"> closely</w:t>
      </w:r>
      <w:r>
        <w:rPr>
          <w:szCs w:val="22"/>
        </w:rPr>
        <w:t>.</w:t>
      </w:r>
    </w:p>
    <w:p w:rsidR="00314816" w:rsidRDefault="00314816" w:rsidP="001467CC">
      <w:pPr>
        <w:ind w:left="720"/>
        <w:jc w:val="both"/>
        <w:rPr>
          <w:szCs w:val="22"/>
        </w:rPr>
      </w:pPr>
    </w:p>
    <w:p w:rsidR="00646967" w:rsidRDefault="00314816" w:rsidP="001467CC">
      <w:pPr>
        <w:numPr>
          <w:ilvl w:val="1"/>
          <w:numId w:val="8"/>
        </w:numPr>
        <w:jc w:val="both"/>
        <w:rPr>
          <w:szCs w:val="22"/>
        </w:rPr>
      </w:pPr>
      <w:r w:rsidRPr="0003128F">
        <w:rPr>
          <w:szCs w:val="22"/>
        </w:rPr>
        <w:t xml:space="preserve">Due to the significantly reduced timescales, particularly for the audit of the accounts, </w:t>
      </w:r>
      <w:r w:rsidR="00646967" w:rsidRPr="0003128F">
        <w:rPr>
          <w:szCs w:val="22"/>
        </w:rPr>
        <w:t xml:space="preserve">it will be important to review and minimise </w:t>
      </w:r>
      <w:r w:rsidR="0003128F" w:rsidRPr="0003128F">
        <w:rPr>
          <w:szCs w:val="22"/>
        </w:rPr>
        <w:t xml:space="preserve">any </w:t>
      </w:r>
      <w:r w:rsidR="00646967" w:rsidRPr="0003128F">
        <w:rPr>
          <w:szCs w:val="22"/>
        </w:rPr>
        <w:t>bureaucratic processes and consult with stakeholders to manage their expectations around existing practices. For example, if normal</w:t>
      </w:r>
      <w:r w:rsidR="0003128F" w:rsidRPr="0003128F">
        <w:rPr>
          <w:szCs w:val="22"/>
        </w:rPr>
        <w:t xml:space="preserve"> c</w:t>
      </w:r>
      <w:r w:rsidR="00646967" w:rsidRPr="0003128F">
        <w:rPr>
          <w:szCs w:val="22"/>
        </w:rPr>
        <w:t xml:space="preserve">ommittee </w:t>
      </w:r>
      <w:r w:rsidR="0003128F" w:rsidRPr="0003128F">
        <w:rPr>
          <w:szCs w:val="22"/>
        </w:rPr>
        <w:t>report</w:t>
      </w:r>
      <w:r w:rsidR="00646967" w:rsidRPr="0003128F">
        <w:rPr>
          <w:szCs w:val="22"/>
        </w:rPr>
        <w:t xml:space="preserve"> clearance and publication deadlines are to be met for the approval of the accounts by 31</w:t>
      </w:r>
      <w:r w:rsidR="00646967" w:rsidRPr="0003128F">
        <w:rPr>
          <w:szCs w:val="22"/>
          <w:vertAlign w:val="superscript"/>
        </w:rPr>
        <w:t>st</w:t>
      </w:r>
      <w:r w:rsidR="00646967" w:rsidRPr="0003128F">
        <w:rPr>
          <w:szCs w:val="22"/>
        </w:rPr>
        <w:t xml:space="preserve"> July, the external auditors would </w:t>
      </w:r>
      <w:r w:rsidR="0003128F" w:rsidRPr="0003128F">
        <w:rPr>
          <w:szCs w:val="22"/>
        </w:rPr>
        <w:t>need</w:t>
      </w:r>
      <w:r w:rsidR="00646967" w:rsidRPr="0003128F">
        <w:rPr>
          <w:szCs w:val="22"/>
        </w:rPr>
        <w:t xml:space="preserve"> to have completed the audit by 13</w:t>
      </w:r>
      <w:r w:rsidR="00646967" w:rsidRPr="0003128F">
        <w:rPr>
          <w:szCs w:val="22"/>
          <w:vertAlign w:val="superscript"/>
        </w:rPr>
        <w:t>th</w:t>
      </w:r>
      <w:r w:rsidR="00646967" w:rsidRPr="0003128F">
        <w:rPr>
          <w:szCs w:val="22"/>
        </w:rPr>
        <w:t xml:space="preserve"> July </w:t>
      </w:r>
      <w:r w:rsidR="0003128F" w:rsidRPr="0003128F">
        <w:rPr>
          <w:szCs w:val="22"/>
        </w:rPr>
        <w:t xml:space="preserve">to ensure the finalised Statement of Accounts can be published with committee agendas, </w:t>
      </w:r>
      <w:r w:rsidR="00646967" w:rsidRPr="0003128F">
        <w:rPr>
          <w:szCs w:val="22"/>
        </w:rPr>
        <w:t>allowing just six weeks for the audit.</w:t>
      </w:r>
      <w:r w:rsidR="0003128F" w:rsidRPr="0003128F">
        <w:rPr>
          <w:szCs w:val="22"/>
        </w:rPr>
        <w:t xml:space="preserve"> Any additional approval processes would shorten the audit timeframe further.</w:t>
      </w:r>
      <w:r w:rsidR="00646967" w:rsidRPr="0003128F">
        <w:rPr>
          <w:szCs w:val="22"/>
        </w:rPr>
        <w:t xml:space="preserve"> Report</w:t>
      </w:r>
      <w:r w:rsidR="00044B96" w:rsidRPr="0003128F">
        <w:rPr>
          <w:szCs w:val="22"/>
        </w:rPr>
        <w:t xml:space="preserve"> approval</w:t>
      </w:r>
      <w:r w:rsidR="00646967" w:rsidRPr="0003128F">
        <w:rPr>
          <w:szCs w:val="22"/>
        </w:rPr>
        <w:t>s</w:t>
      </w:r>
      <w:r w:rsidR="00044B96" w:rsidRPr="0003128F">
        <w:rPr>
          <w:szCs w:val="22"/>
        </w:rPr>
        <w:t xml:space="preserve"> may not be able to go through every</w:t>
      </w:r>
      <w:r w:rsidR="0003128F" w:rsidRPr="0003128F">
        <w:rPr>
          <w:szCs w:val="22"/>
        </w:rPr>
        <w:t xml:space="preserve"> existing</w:t>
      </w:r>
      <w:r w:rsidR="00044B96" w:rsidRPr="0003128F">
        <w:rPr>
          <w:szCs w:val="22"/>
        </w:rPr>
        <w:t xml:space="preserve"> channel</w:t>
      </w:r>
      <w:r w:rsidR="0003128F" w:rsidRPr="0003128F">
        <w:rPr>
          <w:szCs w:val="22"/>
        </w:rPr>
        <w:t xml:space="preserve"> and it may be appropriate to consider special arrangements in some circumstances</w:t>
      </w:r>
      <w:r w:rsidR="006D5622">
        <w:rPr>
          <w:szCs w:val="22"/>
        </w:rPr>
        <w:t xml:space="preserve"> to ensure appropriate review and sign-off is still gained</w:t>
      </w:r>
      <w:r w:rsidR="002B7F15">
        <w:rPr>
          <w:szCs w:val="22"/>
        </w:rPr>
        <w:t xml:space="preserve"> but with</w:t>
      </w:r>
      <w:r w:rsidR="0062451B">
        <w:rPr>
          <w:szCs w:val="22"/>
        </w:rPr>
        <w:t>in</w:t>
      </w:r>
      <w:r w:rsidR="002B7F15">
        <w:rPr>
          <w:szCs w:val="22"/>
        </w:rPr>
        <w:t xml:space="preserve"> the constrained timeframe</w:t>
      </w:r>
      <w:r w:rsidR="0003128F" w:rsidRPr="0003128F">
        <w:rPr>
          <w:szCs w:val="22"/>
        </w:rPr>
        <w:t>. Shared Financial Services will engage with the relevant stakeholders to ensure key stages, such as giving Members adequate time to consider papers, are not jeopardised.</w:t>
      </w:r>
    </w:p>
    <w:p w:rsidR="0003128F" w:rsidRPr="0003128F" w:rsidRDefault="0003128F" w:rsidP="001467CC">
      <w:pPr>
        <w:jc w:val="both"/>
        <w:rPr>
          <w:szCs w:val="22"/>
        </w:rPr>
      </w:pPr>
    </w:p>
    <w:p w:rsidR="00044B96" w:rsidRDefault="0003128F" w:rsidP="001467CC">
      <w:pPr>
        <w:numPr>
          <w:ilvl w:val="1"/>
          <w:numId w:val="8"/>
        </w:numPr>
        <w:jc w:val="both"/>
        <w:rPr>
          <w:szCs w:val="22"/>
        </w:rPr>
      </w:pPr>
      <w:r>
        <w:rPr>
          <w:szCs w:val="22"/>
        </w:rPr>
        <w:lastRenderedPageBreak/>
        <w:t>A further key risk is the delivery of a</w:t>
      </w:r>
      <w:r w:rsidR="00044B96">
        <w:rPr>
          <w:szCs w:val="22"/>
        </w:rPr>
        <w:t xml:space="preserve">sset </w:t>
      </w:r>
      <w:r>
        <w:rPr>
          <w:szCs w:val="22"/>
        </w:rPr>
        <w:t>v</w:t>
      </w:r>
      <w:r w:rsidR="00044B96">
        <w:rPr>
          <w:szCs w:val="22"/>
        </w:rPr>
        <w:t xml:space="preserve">aluations and </w:t>
      </w:r>
      <w:r>
        <w:rPr>
          <w:szCs w:val="22"/>
        </w:rPr>
        <w:t xml:space="preserve">the </w:t>
      </w:r>
      <w:proofErr w:type="spellStart"/>
      <w:r w:rsidR="00FC3332">
        <w:rPr>
          <w:szCs w:val="22"/>
        </w:rPr>
        <w:t>Valuer’s</w:t>
      </w:r>
      <w:proofErr w:type="spellEnd"/>
      <w:r w:rsidR="00FC3332">
        <w:rPr>
          <w:szCs w:val="22"/>
        </w:rPr>
        <w:t xml:space="preserve"> Report to the Chief Finance Officer</w:t>
      </w:r>
      <w:r>
        <w:rPr>
          <w:szCs w:val="22"/>
        </w:rPr>
        <w:t xml:space="preserve">. This process is critical to the accounts, and a key risk identified by the external auditors </w:t>
      </w:r>
      <w:r w:rsidR="002B7F15">
        <w:rPr>
          <w:szCs w:val="22"/>
        </w:rPr>
        <w:t>because of</w:t>
      </w:r>
      <w:r>
        <w:rPr>
          <w:szCs w:val="22"/>
        </w:rPr>
        <w:t xml:space="preserve"> the material values associated with our land and buildings assets.</w:t>
      </w:r>
      <w:r w:rsidR="006D5622">
        <w:rPr>
          <w:szCs w:val="22"/>
        </w:rPr>
        <w:t xml:space="preserve"> Quotations are being sought from a number of external </w:t>
      </w:r>
      <w:proofErr w:type="spellStart"/>
      <w:r w:rsidR="006D5622">
        <w:rPr>
          <w:szCs w:val="22"/>
        </w:rPr>
        <w:t>valuers</w:t>
      </w:r>
      <w:proofErr w:type="spellEnd"/>
      <w:r w:rsidR="00767486">
        <w:rPr>
          <w:szCs w:val="22"/>
        </w:rPr>
        <w:t xml:space="preserve"> with a view to engaging with</w:t>
      </w:r>
      <w:r w:rsidR="006D5622">
        <w:rPr>
          <w:szCs w:val="22"/>
        </w:rPr>
        <w:t xml:space="preserve"> </w:t>
      </w:r>
      <w:r w:rsidR="0062451B">
        <w:rPr>
          <w:szCs w:val="22"/>
        </w:rPr>
        <w:t>one of these</w:t>
      </w:r>
      <w:r w:rsidR="006D5622">
        <w:rPr>
          <w:szCs w:val="22"/>
        </w:rPr>
        <w:t xml:space="preserve"> to deliver the 2017/18 land and buildings valuations by 31</w:t>
      </w:r>
      <w:r w:rsidR="006D5622" w:rsidRPr="006D5622">
        <w:rPr>
          <w:szCs w:val="22"/>
          <w:vertAlign w:val="superscript"/>
        </w:rPr>
        <w:t>st</w:t>
      </w:r>
      <w:r w:rsidR="006D5622">
        <w:rPr>
          <w:szCs w:val="22"/>
        </w:rPr>
        <w:t xml:space="preserve"> March. The external auditors have indicated that a key </w:t>
      </w:r>
      <w:r w:rsidR="00FC3332">
        <w:rPr>
          <w:szCs w:val="22"/>
        </w:rPr>
        <w:t xml:space="preserve">line of </w:t>
      </w:r>
      <w:r w:rsidR="006D5622">
        <w:rPr>
          <w:szCs w:val="22"/>
        </w:rPr>
        <w:t xml:space="preserve">audit </w:t>
      </w:r>
      <w:r w:rsidR="00FC3332">
        <w:rPr>
          <w:szCs w:val="22"/>
        </w:rPr>
        <w:t>enquiry this year will be</w:t>
      </w:r>
      <w:r w:rsidR="006D5622">
        <w:rPr>
          <w:szCs w:val="22"/>
        </w:rPr>
        <w:t xml:space="preserve"> </w:t>
      </w:r>
      <w:r w:rsidR="00FC3332">
        <w:rPr>
          <w:szCs w:val="22"/>
        </w:rPr>
        <w:t xml:space="preserve">the consideration of any material changes to asset values for those assets that have not been valued in the year as part of the five year rolling programme. </w:t>
      </w:r>
      <w:r w:rsidR="002B7F15">
        <w:rPr>
          <w:szCs w:val="22"/>
        </w:rPr>
        <w:t xml:space="preserve">This consideration is a key part of the </w:t>
      </w:r>
      <w:proofErr w:type="spellStart"/>
      <w:r w:rsidR="002B7F15" w:rsidRPr="00FC3332">
        <w:rPr>
          <w:szCs w:val="22"/>
        </w:rPr>
        <w:t>Valuer’s</w:t>
      </w:r>
      <w:proofErr w:type="spellEnd"/>
      <w:r w:rsidR="002B7F15" w:rsidRPr="00FC3332">
        <w:rPr>
          <w:szCs w:val="22"/>
        </w:rPr>
        <w:t xml:space="preserve"> Report to the Chief Finance Officer</w:t>
      </w:r>
      <w:r w:rsidR="002B7F15">
        <w:rPr>
          <w:szCs w:val="22"/>
        </w:rPr>
        <w:t xml:space="preserve"> and t</w:t>
      </w:r>
      <w:r w:rsidR="00FC3332">
        <w:rPr>
          <w:szCs w:val="22"/>
        </w:rPr>
        <w:t xml:space="preserve">he authority must ensure resources are in place to deliver </w:t>
      </w:r>
      <w:r w:rsidR="002B7F15">
        <w:rPr>
          <w:szCs w:val="22"/>
        </w:rPr>
        <w:t>this</w:t>
      </w:r>
      <w:r w:rsidR="00FC3332">
        <w:rPr>
          <w:szCs w:val="22"/>
        </w:rPr>
        <w:t>.</w:t>
      </w:r>
    </w:p>
    <w:p w:rsidR="00FC3332" w:rsidRDefault="00FC3332" w:rsidP="001467CC">
      <w:pPr>
        <w:jc w:val="both"/>
        <w:rPr>
          <w:szCs w:val="22"/>
        </w:rPr>
      </w:pPr>
    </w:p>
    <w:p w:rsidR="00044B96" w:rsidRDefault="00044B96" w:rsidP="001467CC">
      <w:pPr>
        <w:ind w:left="360"/>
        <w:jc w:val="both"/>
        <w:rPr>
          <w:b/>
          <w:szCs w:val="22"/>
        </w:rPr>
      </w:pPr>
    </w:p>
    <w:p w:rsidR="002F5C5E" w:rsidRDefault="00B96DE3" w:rsidP="001467CC">
      <w:pPr>
        <w:numPr>
          <w:ilvl w:val="0"/>
          <w:numId w:val="8"/>
        </w:numPr>
        <w:jc w:val="both"/>
        <w:rPr>
          <w:b/>
          <w:szCs w:val="22"/>
        </w:rPr>
      </w:pPr>
      <w:r>
        <w:rPr>
          <w:b/>
          <w:szCs w:val="22"/>
        </w:rPr>
        <w:t xml:space="preserve">INTRODUCTION </w:t>
      </w:r>
      <w:r w:rsidR="00817FD0">
        <w:rPr>
          <w:b/>
          <w:szCs w:val="22"/>
        </w:rPr>
        <w:t xml:space="preserve">OF THE </w:t>
      </w:r>
      <w:r w:rsidR="00725FC0">
        <w:rPr>
          <w:b/>
          <w:szCs w:val="22"/>
        </w:rPr>
        <w:t>GRANT THORNTON UPDATE AND PROGRESS REPORT</w:t>
      </w:r>
      <w:r w:rsidR="00817FD0">
        <w:rPr>
          <w:b/>
          <w:szCs w:val="22"/>
        </w:rPr>
        <w:t xml:space="preserve"> AND ANNUAL CERTIFICATION LETTER</w:t>
      </w:r>
    </w:p>
    <w:p w:rsidR="00FB6093" w:rsidRDefault="00FB6093" w:rsidP="001467CC">
      <w:pPr>
        <w:jc w:val="both"/>
        <w:rPr>
          <w:b/>
          <w:szCs w:val="22"/>
        </w:rPr>
      </w:pPr>
    </w:p>
    <w:p w:rsidR="00FB6093" w:rsidRDefault="00066755" w:rsidP="001467CC">
      <w:pPr>
        <w:numPr>
          <w:ilvl w:val="1"/>
          <w:numId w:val="8"/>
        </w:numPr>
        <w:jc w:val="both"/>
        <w:rPr>
          <w:szCs w:val="22"/>
        </w:rPr>
      </w:pPr>
      <w:r w:rsidRPr="00066755">
        <w:rPr>
          <w:szCs w:val="22"/>
        </w:rPr>
        <w:t xml:space="preserve">The progress </w:t>
      </w:r>
      <w:r w:rsidR="004555FD">
        <w:rPr>
          <w:szCs w:val="22"/>
        </w:rPr>
        <w:t xml:space="preserve">and update </w:t>
      </w:r>
      <w:r w:rsidRPr="00066755">
        <w:rPr>
          <w:szCs w:val="22"/>
        </w:rPr>
        <w:t xml:space="preserve">report </w:t>
      </w:r>
      <w:r w:rsidR="00C04193">
        <w:rPr>
          <w:szCs w:val="22"/>
        </w:rPr>
        <w:t xml:space="preserve">submitted by Grant Thornton and attached at Appendix </w:t>
      </w:r>
      <w:r w:rsidR="00C04193">
        <w:rPr>
          <w:caps/>
          <w:szCs w:val="22"/>
        </w:rPr>
        <w:t xml:space="preserve">B </w:t>
      </w:r>
      <w:r w:rsidR="00951015">
        <w:rPr>
          <w:szCs w:val="22"/>
        </w:rPr>
        <w:t>includes</w:t>
      </w:r>
      <w:r w:rsidR="00BE546F">
        <w:rPr>
          <w:szCs w:val="22"/>
        </w:rPr>
        <w:t xml:space="preserve"> </w:t>
      </w:r>
      <w:r>
        <w:rPr>
          <w:szCs w:val="22"/>
        </w:rPr>
        <w:t>information</w:t>
      </w:r>
      <w:r w:rsidR="00BE546F">
        <w:rPr>
          <w:szCs w:val="22"/>
        </w:rPr>
        <w:t xml:space="preserve"> in relation to the following</w:t>
      </w:r>
      <w:r>
        <w:rPr>
          <w:szCs w:val="22"/>
        </w:rPr>
        <w:t>:</w:t>
      </w:r>
    </w:p>
    <w:p w:rsidR="004555FD" w:rsidRDefault="004555FD" w:rsidP="001467CC">
      <w:pPr>
        <w:numPr>
          <w:ilvl w:val="0"/>
          <w:numId w:val="16"/>
        </w:numPr>
        <w:jc w:val="both"/>
        <w:rPr>
          <w:szCs w:val="22"/>
        </w:rPr>
      </w:pPr>
      <w:r w:rsidRPr="004555FD">
        <w:rPr>
          <w:szCs w:val="22"/>
        </w:rPr>
        <w:t xml:space="preserve">Progress on the 2017/18 external </w:t>
      </w:r>
      <w:r w:rsidR="002B7F15">
        <w:rPr>
          <w:szCs w:val="22"/>
        </w:rPr>
        <w:t>audit</w:t>
      </w:r>
    </w:p>
    <w:p w:rsidR="000B790E" w:rsidRPr="004555FD" w:rsidRDefault="004555FD" w:rsidP="001467CC">
      <w:pPr>
        <w:numPr>
          <w:ilvl w:val="0"/>
          <w:numId w:val="16"/>
        </w:numPr>
        <w:jc w:val="both"/>
        <w:rPr>
          <w:szCs w:val="22"/>
        </w:rPr>
      </w:pPr>
      <w:r>
        <w:rPr>
          <w:szCs w:val="22"/>
        </w:rPr>
        <w:t>Audit deliverables</w:t>
      </w:r>
    </w:p>
    <w:p w:rsidR="000B790E" w:rsidRDefault="004555FD" w:rsidP="001467CC">
      <w:pPr>
        <w:numPr>
          <w:ilvl w:val="0"/>
          <w:numId w:val="16"/>
        </w:numPr>
        <w:jc w:val="both"/>
        <w:rPr>
          <w:szCs w:val="22"/>
        </w:rPr>
      </w:pPr>
      <w:r>
        <w:rPr>
          <w:szCs w:val="22"/>
        </w:rPr>
        <w:t>Meeting the deadlines</w:t>
      </w:r>
    </w:p>
    <w:p w:rsidR="00BE546F" w:rsidRDefault="004555FD" w:rsidP="001467CC">
      <w:pPr>
        <w:numPr>
          <w:ilvl w:val="0"/>
          <w:numId w:val="16"/>
        </w:numPr>
        <w:jc w:val="both"/>
        <w:rPr>
          <w:szCs w:val="22"/>
        </w:rPr>
      </w:pPr>
      <w:r>
        <w:rPr>
          <w:szCs w:val="22"/>
        </w:rPr>
        <w:t>Sector update</w:t>
      </w:r>
      <w:r w:rsidR="00817FD0">
        <w:rPr>
          <w:szCs w:val="22"/>
        </w:rPr>
        <w:t>s</w:t>
      </w:r>
    </w:p>
    <w:p w:rsidR="00B96DE3" w:rsidRDefault="00B96DE3" w:rsidP="00B96DE3">
      <w:pPr>
        <w:ind w:left="1080"/>
        <w:jc w:val="both"/>
        <w:rPr>
          <w:szCs w:val="22"/>
        </w:rPr>
      </w:pPr>
    </w:p>
    <w:p w:rsidR="00B96DE3" w:rsidRDefault="00B96DE3" w:rsidP="00817FD0">
      <w:pPr>
        <w:numPr>
          <w:ilvl w:val="1"/>
          <w:numId w:val="8"/>
        </w:numPr>
        <w:jc w:val="both"/>
        <w:rPr>
          <w:szCs w:val="22"/>
        </w:rPr>
      </w:pPr>
      <w:r w:rsidRPr="00B96DE3">
        <w:rPr>
          <w:szCs w:val="22"/>
        </w:rPr>
        <w:t>Attached at Appendix C is Grant Thornton’s letter to the Council in relation to their certification work. Grant Thornton are required to certify the Council’s annual Housing Benefit Subsidy claim in accordance with procedures agreed with the Department for Work and Pensions. The results of the certification</w:t>
      </w:r>
      <w:r>
        <w:rPr>
          <w:szCs w:val="22"/>
        </w:rPr>
        <w:t xml:space="preserve"> work are reported to you in the</w:t>
      </w:r>
      <w:r w:rsidRPr="00B96DE3">
        <w:rPr>
          <w:szCs w:val="22"/>
        </w:rPr>
        <w:t xml:space="preserve"> certification</w:t>
      </w:r>
      <w:r>
        <w:rPr>
          <w:szCs w:val="22"/>
        </w:rPr>
        <w:t xml:space="preserve"> </w:t>
      </w:r>
      <w:r w:rsidRPr="00B96DE3">
        <w:rPr>
          <w:szCs w:val="22"/>
        </w:rPr>
        <w:t>letter</w:t>
      </w:r>
      <w:r>
        <w:rPr>
          <w:szCs w:val="22"/>
        </w:rPr>
        <w:t>.</w:t>
      </w:r>
      <w:r w:rsidR="00817FD0" w:rsidRPr="00817FD0">
        <w:t xml:space="preserve"> </w:t>
      </w:r>
      <w:r w:rsidR="00817FD0" w:rsidRPr="00817FD0">
        <w:rPr>
          <w:szCs w:val="22"/>
        </w:rPr>
        <w:t xml:space="preserve">This letter reports any matters arising from </w:t>
      </w:r>
      <w:r w:rsidR="00817FD0">
        <w:rPr>
          <w:szCs w:val="22"/>
        </w:rPr>
        <w:t>the</w:t>
      </w:r>
      <w:r w:rsidR="00817FD0" w:rsidRPr="00817FD0">
        <w:rPr>
          <w:szCs w:val="22"/>
        </w:rPr>
        <w:t xml:space="preserve"> certification work carried out under the</w:t>
      </w:r>
      <w:r w:rsidR="00817FD0">
        <w:rPr>
          <w:szCs w:val="22"/>
        </w:rPr>
        <w:t xml:space="preserve"> Public Sector Audit Appointments (</w:t>
      </w:r>
      <w:r w:rsidR="00817FD0" w:rsidRPr="00817FD0">
        <w:rPr>
          <w:szCs w:val="22"/>
        </w:rPr>
        <w:t>PSAA</w:t>
      </w:r>
      <w:r w:rsidR="00817FD0">
        <w:rPr>
          <w:szCs w:val="22"/>
        </w:rPr>
        <w:t>)</w:t>
      </w:r>
      <w:r w:rsidR="00817FD0" w:rsidRPr="00817FD0">
        <w:rPr>
          <w:szCs w:val="22"/>
        </w:rPr>
        <w:t xml:space="preserve"> contract</w:t>
      </w:r>
      <w:r w:rsidR="00817FD0">
        <w:rPr>
          <w:szCs w:val="22"/>
        </w:rPr>
        <w:t>.</w:t>
      </w:r>
    </w:p>
    <w:p w:rsidR="00976F87" w:rsidRDefault="00976F87" w:rsidP="00976F87">
      <w:pPr>
        <w:ind w:left="720"/>
        <w:jc w:val="both"/>
        <w:rPr>
          <w:szCs w:val="22"/>
        </w:rPr>
      </w:pPr>
    </w:p>
    <w:p w:rsidR="001E2D03" w:rsidRPr="00B96DE3" w:rsidRDefault="001E2D03" w:rsidP="00817FD0">
      <w:pPr>
        <w:numPr>
          <w:ilvl w:val="1"/>
          <w:numId w:val="8"/>
        </w:numPr>
        <w:jc w:val="both"/>
        <w:rPr>
          <w:szCs w:val="22"/>
        </w:rPr>
      </w:pPr>
      <w:r>
        <w:rPr>
          <w:szCs w:val="22"/>
        </w:rPr>
        <w:t>The key messages</w:t>
      </w:r>
      <w:r w:rsidR="00976F87">
        <w:rPr>
          <w:szCs w:val="22"/>
        </w:rPr>
        <w:t xml:space="preserve"> from the letter are; </w:t>
      </w:r>
      <w:r>
        <w:rPr>
          <w:szCs w:val="22"/>
        </w:rPr>
        <w:t>that</w:t>
      </w:r>
      <w:r w:rsidR="00976F87">
        <w:rPr>
          <w:szCs w:val="22"/>
        </w:rPr>
        <w:t xml:space="preserve"> only minor issues have been identified and these generally related to following up findings from previous years, as a result of the issues identified Grant Thornton reported the findings to the Department for Work and Pensions (DWP) who may require the Council to undertake further work or provide assurances on the issues reported, and finally that there is no change to the indicative fee of £6,968 for this work although any additional work required by DWP may incur additional fees.</w:t>
      </w:r>
    </w:p>
    <w:p w:rsidR="002F5C5E" w:rsidRPr="009C1143" w:rsidRDefault="002F5C5E" w:rsidP="001467CC">
      <w:pPr>
        <w:ind w:left="360"/>
        <w:jc w:val="both"/>
        <w:rPr>
          <w:i/>
          <w:color w:val="0070C0"/>
          <w:szCs w:val="22"/>
        </w:rPr>
      </w:pPr>
    </w:p>
    <w:p w:rsidR="002F5C5E" w:rsidRPr="009C1143" w:rsidRDefault="002F5C5E" w:rsidP="001467CC">
      <w:pPr>
        <w:jc w:val="both"/>
        <w:rPr>
          <w:b/>
          <w:szCs w:val="22"/>
        </w:rPr>
      </w:pPr>
    </w:p>
    <w:p w:rsidR="002F5C5E" w:rsidRPr="009C1143" w:rsidRDefault="00EB2D32" w:rsidP="001467CC">
      <w:pPr>
        <w:jc w:val="both"/>
        <w:rPr>
          <w:b/>
          <w:szCs w:val="22"/>
        </w:rPr>
      </w:pPr>
      <w:r>
        <w:rPr>
          <w:b/>
          <w:szCs w:val="22"/>
        </w:rPr>
        <w:t>7</w:t>
      </w:r>
      <w:r w:rsidR="002F5C5E" w:rsidRPr="009C1143">
        <w:rPr>
          <w:b/>
          <w:szCs w:val="22"/>
        </w:rPr>
        <w:t>.   WIDER IMPLICATIONS AND BACKGROUND DOCUMENTATION</w:t>
      </w:r>
    </w:p>
    <w:p w:rsidR="000501DD" w:rsidRDefault="000501DD" w:rsidP="001467CC">
      <w:pPr>
        <w:ind w:firstLine="360"/>
        <w:jc w:val="both"/>
        <w:rPr>
          <w:b/>
          <w:szCs w:val="22"/>
        </w:rPr>
      </w:pPr>
    </w:p>
    <w:p w:rsidR="007B612C" w:rsidRDefault="00EB2D32" w:rsidP="001467CC">
      <w:pPr>
        <w:ind w:firstLine="360"/>
        <w:jc w:val="both"/>
        <w:rPr>
          <w:b/>
          <w:szCs w:val="22"/>
        </w:rPr>
      </w:pPr>
      <w:r>
        <w:rPr>
          <w:b/>
          <w:szCs w:val="22"/>
        </w:rPr>
        <w:t>7</w:t>
      </w:r>
      <w:r w:rsidR="003C36EB" w:rsidRPr="009C1143">
        <w:rPr>
          <w:b/>
          <w:szCs w:val="22"/>
        </w:rPr>
        <w:t>.1 Comments of the Statutory Finance Office</w:t>
      </w:r>
      <w:r w:rsidR="007B612C">
        <w:rPr>
          <w:b/>
          <w:szCs w:val="22"/>
        </w:rPr>
        <w:t>r</w:t>
      </w:r>
    </w:p>
    <w:p w:rsidR="007B612C" w:rsidRDefault="007B612C" w:rsidP="001467CC">
      <w:pPr>
        <w:ind w:firstLine="360"/>
        <w:jc w:val="both"/>
        <w:rPr>
          <w:b/>
          <w:szCs w:val="22"/>
        </w:rPr>
      </w:pPr>
      <w:bookmarkStart w:id="0" w:name="_GoBack"/>
      <w:bookmarkEnd w:id="0"/>
    </w:p>
    <w:p w:rsidR="003C36EB" w:rsidRPr="0083249B" w:rsidRDefault="007B612C" w:rsidP="001467CC">
      <w:pPr>
        <w:ind w:left="426"/>
        <w:jc w:val="both"/>
        <w:rPr>
          <w:szCs w:val="22"/>
        </w:rPr>
      </w:pPr>
      <w:r w:rsidRPr="0083249B">
        <w:rPr>
          <w:szCs w:val="22"/>
        </w:rPr>
        <w:t xml:space="preserve">The </w:t>
      </w:r>
      <w:r w:rsidR="001E1B24" w:rsidRPr="0083249B">
        <w:rPr>
          <w:szCs w:val="22"/>
        </w:rPr>
        <w:t xml:space="preserve">report and </w:t>
      </w:r>
      <w:r w:rsidRPr="0083249B">
        <w:rPr>
          <w:szCs w:val="22"/>
        </w:rPr>
        <w:t xml:space="preserve">attached </w:t>
      </w:r>
      <w:r w:rsidR="001E1B24" w:rsidRPr="0083249B">
        <w:rPr>
          <w:szCs w:val="22"/>
        </w:rPr>
        <w:t>appendices</w:t>
      </w:r>
      <w:r w:rsidRPr="0083249B">
        <w:rPr>
          <w:szCs w:val="22"/>
        </w:rPr>
        <w:t xml:space="preserve"> </w:t>
      </w:r>
      <w:r w:rsidR="001E1B24" w:rsidRPr="0083249B">
        <w:rPr>
          <w:szCs w:val="22"/>
        </w:rPr>
        <w:t>are provided at the request of Governance Committee to demonstrate our preparedness for the 2017/18 closure of accounts process. They are f</w:t>
      </w:r>
      <w:r w:rsidRPr="0083249B">
        <w:rPr>
          <w:szCs w:val="22"/>
        </w:rPr>
        <w:t>or information only and therefor</w:t>
      </w:r>
      <w:r w:rsidR="001E1B24" w:rsidRPr="0083249B">
        <w:rPr>
          <w:szCs w:val="22"/>
        </w:rPr>
        <w:t xml:space="preserve">e there are no direct financial </w:t>
      </w:r>
      <w:r w:rsidRPr="0083249B">
        <w:rPr>
          <w:szCs w:val="22"/>
        </w:rPr>
        <w:t xml:space="preserve">implications. </w:t>
      </w:r>
    </w:p>
    <w:p w:rsidR="00E771B3" w:rsidRPr="0083249B" w:rsidRDefault="000C4A67" w:rsidP="001467CC">
      <w:pPr>
        <w:ind w:firstLine="360"/>
        <w:jc w:val="both"/>
        <w:rPr>
          <w:szCs w:val="22"/>
        </w:rPr>
      </w:pPr>
      <w:r w:rsidRPr="0083249B">
        <w:rPr>
          <w:szCs w:val="22"/>
        </w:rPr>
        <w:t xml:space="preserve"> </w:t>
      </w:r>
    </w:p>
    <w:p w:rsidR="003C36EB" w:rsidRDefault="00EB2D32" w:rsidP="001467CC">
      <w:pPr>
        <w:ind w:firstLine="360"/>
        <w:jc w:val="both"/>
        <w:rPr>
          <w:b/>
          <w:szCs w:val="22"/>
        </w:rPr>
      </w:pPr>
      <w:r>
        <w:rPr>
          <w:b/>
          <w:szCs w:val="22"/>
        </w:rPr>
        <w:t>7</w:t>
      </w:r>
      <w:r w:rsidR="003C36EB" w:rsidRPr="009C1143">
        <w:rPr>
          <w:b/>
          <w:szCs w:val="22"/>
        </w:rPr>
        <w:t xml:space="preserve">.2 Comments of the </w:t>
      </w:r>
      <w:r w:rsidR="00D37BAE">
        <w:rPr>
          <w:b/>
          <w:szCs w:val="22"/>
        </w:rPr>
        <w:t>Monitoring Officer</w:t>
      </w:r>
    </w:p>
    <w:p w:rsidR="00851B9A" w:rsidRPr="0083249B" w:rsidRDefault="00851B9A" w:rsidP="001467CC">
      <w:pPr>
        <w:ind w:firstLine="360"/>
        <w:jc w:val="both"/>
        <w:rPr>
          <w:b/>
          <w:szCs w:val="22"/>
        </w:rPr>
      </w:pPr>
    </w:p>
    <w:p w:rsidR="005B09B5" w:rsidRPr="0083249B" w:rsidRDefault="00571856" w:rsidP="0083249B">
      <w:pPr>
        <w:ind w:left="360"/>
        <w:jc w:val="both"/>
        <w:rPr>
          <w:rFonts w:eastAsia="PMingLiU" w:cs="Arial"/>
          <w:sz w:val="24"/>
        </w:rPr>
      </w:pPr>
      <w:r w:rsidRPr="0083249B">
        <w:rPr>
          <w:rFonts w:eastAsia="PMingLiU" w:cs="Arial"/>
        </w:rPr>
        <w:lastRenderedPageBreak/>
        <w:t xml:space="preserve">The </w:t>
      </w:r>
      <w:r w:rsidR="00A268A6">
        <w:rPr>
          <w:rFonts w:eastAsia="PMingLiU" w:cs="Arial"/>
        </w:rPr>
        <w:t xml:space="preserve">primary </w:t>
      </w:r>
      <w:r w:rsidRPr="0083249B">
        <w:rPr>
          <w:rFonts w:eastAsia="PMingLiU" w:cs="Arial"/>
        </w:rPr>
        <w:t>purpose of the report is to provide reassurance to members that the council is ful</w:t>
      </w:r>
      <w:r w:rsidR="00B06720" w:rsidRPr="0083249B">
        <w:rPr>
          <w:rFonts w:eastAsia="PMingLiU" w:cs="Arial"/>
        </w:rPr>
        <w:t>l</w:t>
      </w:r>
      <w:r w:rsidRPr="0083249B">
        <w:rPr>
          <w:rFonts w:eastAsia="PMingLiU" w:cs="Arial"/>
        </w:rPr>
        <w:t>y prepared to meet the new deadline for the closure of accounts.</w:t>
      </w:r>
      <w:r w:rsidR="00B06720" w:rsidRPr="0083249B">
        <w:rPr>
          <w:rFonts w:eastAsia="PMingLiU" w:cs="Arial"/>
        </w:rPr>
        <w:t xml:space="preserve"> There are no direct legal implications arising.</w:t>
      </w:r>
      <w:r w:rsidRPr="0083249B">
        <w:rPr>
          <w:rFonts w:eastAsia="PMingLiU" w:cs="Arial"/>
        </w:rPr>
        <w:t xml:space="preserve">  </w:t>
      </w:r>
    </w:p>
    <w:p w:rsidR="003C36EB" w:rsidRPr="009C1143" w:rsidRDefault="003C36EB" w:rsidP="001467CC">
      <w:pPr>
        <w:ind w:firstLine="360"/>
        <w:jc w:val="both"/>
        <w:rPr>
          <w:b/>
          <w:szCs w:val="22"/>
        </w:rPr>
      </w:pPr>
    </w:p>
    <w:p w:rsidR="003C36EB" w:rsidRPr="009C1143" w:rsidRDefault="003C36EB" w:rsidP="001467CC">
      <w:pPr>
        <w:ind w:firstLine="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851B9A" w:rsidTr="00851B9A">
        <w:trPr>
          <w:trHeight w:val="3660"/>
        </w:trPr>
        <w:tc>
          <w:tcPr>
            <w:tcW w:w="3544" w:type="dxa"/>
            <w:shd w:val="clear" w:color="auto" w:fill="auto"/>
          </w:tcPr>
          <w:p w:rsidR="002F5C5E" w:rsidRPr="009C1143" w:rsidRDefault="002F5C5E" w:rsidP="001467CC">
            <w:pPr>
              <w:jc w:val="both"/>
              <w:rPr>
                <w:b/>
                <w:szCs w:val="22"/>
              </w:rPr>
            </w:pPr>
            <w:r w:rsidRPr="009C1143">
              <w:rPr>
                <w:b/>
                <w:szCs w:val="22"/>
              </w:rPr>
              <w:t xml:space="preserve">Other implications: </w:t>
            </w:r>
          </w:p>
          <w:p w:rsidR="002F5C5E" w:rsidRPr="009C1143" w:rsidRDefault="002F5C5E" w:rsidP="001467CC">
            <w:pPr>
              <w:jc w:val="both"/>
              <w:rPr>
                <w:b/>
                <w:szCs w:val="22"/>
              </w:rPr>
            </w:pPr>
          </w:p>
          <w:p w:rsidR="002F5C5E" w:rsidRPr="009C1143" w:rsidRDefault="002F5C5E" w:rsidP="001467CC">
            <w:pPr>
              <w:numPr>
                <w:ilvl w:val="0"/>
                <w:numId w:val="11"/>
              </w:numPr>
              <w:ind w:left="360"/>
              <w:jc w:val="both"/>
              <w:rPr>
                <w:b/>
                <w:szCs w:val="22"/>
              </w:rPr>
            </w:pPr>
            <w:r w:rsidRPr="009C1143">
              <w:rPr>
                <w:b/>
                <w:szCs w:val="22"/>
              </w:rPr>
              <w:t>Risk</w:t>
            </w:r>
          </w:p>
          <w:p w:rsidR="002F5C5E" w:rsidRPr="009C1143" w:rsidRDefault="002F5C5E" w:rsidP="001467CC">
            <w:pPr>
              <w:jc w:val="both"/>
              <w:rPr>
                <w:b/>
                <w:szCs w:val="22"/>
              </w:rPr>
            </w:pPr>
          </w:p>
          <w:p w:rsidR="002F5C5E" w:rsidRPr="009C1143" w:rsidRDefault="002F5C5E" w:rsidP="001467CC">
            <w:pPr>
              <w:numPr>
                <w:ilvl w:val="0"/>
                <w:numId w:val="11"/>
              </w:numPr>
              <w:ind w:left="360"/>
              <w:jc w:val="both"/>
              <w:rPr>
                <w:b/>
                <w:szCs w:val="22"/>
              </w:rPr>
            </w:pPr>
            <w:r w:rsidRPr="009C1143">
              <w:rPr>
                <w:b/>
                <w:szCs w:val="22"/>
              </w:rPr>
              <w:t>Equality</w:t>
            </w:r>
            <w:r w:rsidR="0047741D">
              <w:rPr>
                <w:b/>
                <w:szCs w:val="22"/>
              </w:rPr>
              <w:t xml:space="preserve"> &amp; Diversity</w:t>
            </w:r>
          </w:p>
          <w:p w:rsidR="003C36EB" w:rsidRPr="009C1143" w:rsidRDefault="003C36EB" w:rsidP="001467CC">
            <w:pPr>
              <w:jc w:val="both"/>
              <w:rPr>
                <w:b/>
                <w:szCs w:val="22"/>
              </w:rPr>
            </w:pPr>
          </w:p>
          <w:p w:rsidR="003C36EB" w:rsidRDefault="00D37BAE" w:rsidP="001467CC">
            <w:pPr>
              <w:numPr>
                <w:ilvl w:val="0"/>
                <w:numId w:val="11"/>
              </w:numPr>
              <w:ind w:left="360"/>
              <w:jc w:val="both"/>
              <w:rPr>
                <w:b/>
                <w:szCs w:val="22"/>
              </w:rPr>
            </w:pPr>
            <w:r>
              <w:rPr>
                <w:b/>
                <w:szCs w:val="22"/>
              </w:rPr>
              <w:t>HR</w:t>
            </w:r>
            <w:r w:rsidR="0047741D">
              <w:rPr>
                <w:b/>
                <w:szCs w:val="22"/>
              </w:rPr>
              <w:t xml:space="preserve"> &amp; Organisational Development </w:t>
            </w:r>
          </w:p>
          <w:p w:rsidR="0047741D" w:rsidRDefault="0047741D" w:rsidP="001467CC">
            <w:pPr>
              <w:ind w:left="360"/>
              <w:jc w:val="both"/>
              <w:rPr>
                <w:b/>
                <w:szCs w:val="22"/>
              </w:rPr>
            </w:pPr>
          </w:p>
          <w:p w:rsidR="0047741D" w:rsidRDefault="0047741D" w:rsidP="001467CC">
            <w:pPr>
              <w:numPr>
                <w:ilvl w:val="0"/>
                <w:numId w:val="11"/>
              </w:numPr>
              <w:ind w:left="360"/>
              <w:jc w:val="both"/>
              <w:rPr>
                <w:b/>
                <w:szCs w:val="22"/>
              </w:rPr>
            </w:pPr>
            <w:r>
              <w:rPr>
                <w:b/>
                <w:szCs w:val="22"/>
              </w:rPr>
              <w:t>Property &amp; Asset Management</w:t>
            </w:r>
          </w:p>
          <w:p w:rsidR="0047741D" w:rsidRDefault="0047741D" w:rsidP="001467CC">
            <w:pPr>
              <w:ind w:left="360"/>
              <w:jc w:val="both"/>
              <w:rPr>
                <w:b/>
                <w:szCs w:val="22"/>
              </w:rPr>
            </w:pPr>
          </w:p>
          <w:p w:rsidR="0047741D" w:rsidRPr="009C1143" w:rsidRDefault="0047741D" w:rsidP="001467CC">
            <w:pPr>
              <w:numPr>
                <w:ilvl w:val="0"/>
                <w:numId w:val="11"/>
              </w:numPr>
              <w:ind w:left="360"/>
              <w:jc w:val="both"/>
              <w:rPr>
                <w:b/>
                <w:szCs w:val="22"/>
              </w:rPr>
            </w:pPr>
            <w:r>
              <w:rPr>
                <w:b/>
                <w:szCs w:val="22"/>
              </w:rPr>
              <w:t>ICT / Technology</w:t>
            </w:r>
          </w:p>
          <w:p w:rsidR="002F5C5E" w:rsidRPr="009C1143" w:rsidRDefault="002F5C5E" w:rsidP="001467CC">
            <w:pPr>
              <w:jc w:val="both"/>
              <w:rPr>
                <w:b/>
                <w:szCs w:val="22"/>
              </w:rPr>
            </w:pPr>
          </w:p>
          <w:p w:rsidR="002F5C5E" w:rsidRPr="009C1143" w:rsidRDefault="002F5C5E" w:rsidP="001467CC">
            <w:pPr>
              <w:jc w:val="both"/>
              <w:rPr>
                <w:szCs w:val="22"/>
              </w:rPr>
            </w:pPr>
          </w:p>
        </w:tc>
        <w:tc>
          <w:tcPr>
            <w:tcW w:w="6379" w:type="dxa"/>
            <w:shd w:val="clear" w:color="auto" w:fill="auto"/>
            <w:vAlign w:val="center"/>
          </w:tcPr>
          <w:p w:rsidR="00851B9A" w:rsidRDefault="002B7F15" w:rsidP="001467CC">
            <w:pPr>
              <w:jc w:val="both"/>
              <w:rPr>
                <w:szCs w:val="22"/>
              </w:rPr>
            </w:pPr>
            <w:r w:rsidRPr="002B7F15">
              <w:rPr>
                <w:szCs w:val="22"/>
              </w:rPr>
              <w:t>Risk implications apply in relation to the Accounts and Audit Regulations 2015 to prepare financial statements in accordance with the statutory timetable. The accounts must be compliant with the relevant standards and must be prepared on a true and fair view basis. Failure to comply could result in a failure to meet the statutory duty.</w:t>
            </w:r>
          </w:p>
          <w:p w:rsidR="002B7F15" w:rsidRPr="00851B9A" w:rsidRDefault="002B7F15" w:rsidP="001467CC">
            <w:pPr>
              <w:jc w:val="both"/>
              <w:rPr>
                <w:szCs w:val="22"/>
              </w:rPr>
            </w:pPr>
          </w:p>
          <w:p w:rsidR="00851B9A" w:rsidRPr="00851B9A" w:rsidRDefault="00851B9A" w:rsidP="001467CC">
            <w:pPr>
              <w:jc w:val="both"/>
              <w:rPr>
                <w:szCs w:val="22"/>
              </w:rPr>
            </w:pPr>
            <w:r w:rsidRPr="00851B9A">
              <w:rPr>
                <w:szCs w:val="22"/>
              </w:rPr>
              <w:t>This is a progress report and update to the Governance committee and therefore there are no</w:t>
            </w:r>
            <w:r w:rsidR="002B7F15">
              <w:rPr>
                <w:szCs w:val="22"/>
              </w:rPr>
              <w:t xml:space="preserve"> other</w:t>
            </w:r>
            <w:r w:rsidRPr="00851B9A">
              <w:rPr>
                <w:szCs w:val="22"/>
              </w:rPr>
              <w:t xml:space="preserve"> direct implications</w:t>
            </w:r>
          </w:p>
        </w:tc>
      </w:tr>
    </w:tbl>
    <w:p w:rsidR="002F5C5E" w:rsidRPr="009C1143" w:rsidRDefault="002F5C5E" w:rsidP="001467CC">
      <w:pPr>
        <w:jc w:val="both"/>
        <w:rPr>
          <w:i/>
          <w:color w:val="2E74B5"/>
          <w:szCs w:val="22"/>
        </w:rPr>
      </w:pPr>
    </w:p>
    <w:p w:rsidR="002F5C5E" w:rsidRPr="009C1143" w:rsidRDefault="002F5C5E" w:rsidP="001467CC">
      <w:pPr>
        <w:jc w:val="both"/>
        <w:rPr>
          <w:szCs w:val="22"/>
        </w:rPr>
      </w:pPr>
      <w:r w:rsidRPr="009C1143">
        <w:rPr>
          <w:i/>
          <w:color w:val="2E74B5"/>
          <w:szCs w:val="22"/>
        </w:rPr>
        <w:t xml:space="preserve"> </w:t>
      </w:r>
      <w:r w:rsidRPr="009C1143">
        <w:rPr>
          <w:szCs w:val="22"/>
        </w:rPr>
        <w:tab/>
      </w:r>
    </w:p>
    <w:p w:rsidR="002F5C5E" w:rsidRDefault="002F5C5E" w:rsidP="001467CC">
      <w:pPr>
        <w:jc w:val="both"/>
        <w:rPr>
          <w:b/>
          <w:szCs w:val="22"/>
        </w:rPr>
      </w:pPr>
      <w:r w:rsidRPr="009C1143">
        <w:rPr>
          <w:b/>
          <w:szCs w:val="22"/>
        </w:rPr>
        <w:t xml:space="preserve">BACKGROUND DOCUMENTS </w:t>
      </w:r>
    </w:p>
    <w:p w:rsidR="008D5169" w:rsidRDefault="008D5169" w:rsidP="001467CC">
      <w:pPr>
        <w:jc w:val="both"/>
        <w:rPr>
          <w:b/>
          <w:szCs w:val="22"/>
        </w:rPr>
      </w:pPr>
    </w:p>
    <w:p w:rsidR="002B7F15" w:rsidRPr="002B7F15" w:rsidRDefault="002B7F15" w:rsidP="002B7F15">
      <w:pPr>
        <w:numPr>
          <w:ilvl w:val="0"/>
          <w:numId w:val="20"/>
        </w:numPr>
        <w:tabs>
          <w:tab w:val="num" w:pos="360"/>
        </w:tabs>
        <w:jc w:val="both"/>
        <w:rPr>
          <w:rFonts w:cs="Arial"/>
          <w:szCs w:val="22"/>
          <w:lang w:eastAsia="en-US"/>
        </w:rPr>
      </w:pPr>
      <w:r w:rsidRPr="002B7F15">
        <w:rPr>
          <w:rFonts w:cs="Arial"/>
          <w:szCs w:val="22"/>
          <w:lang w:eastAsia="en-US"/>
        </w:rPr>
        <w:t>Accounts and Audit (England) Regulations 2015</w:t>
      </w:r>
    </w:p>
    <w:p w:rsidR="00C04193" w:rsidRPr="00C04193" w:rsidRDefault="00C04193" w:rsidP="00C04193">
      <w:pPr>
        <w:numPr>
          <w:ilvl w:val="0"/>
          <w:numId w:val="20"/>
        </w:numPr>
        <w:rPr>
          <w:rFonts w:cs="Arial"/>
          <w:szCs w:val="22"/>
          <w:lang w:eastAsia="en-US"/>
        </w:rPr>
      </w:pPr>
      <w:r w:rsidRPr="00C04193">
        <w:rPr>
          <w:rFonts w:cs="Arial"/>
          <w:szCs w:val="22"/>
          <w:lang w:eastAsia="en-US"/>
        </w:rPr>
        <w:t>CIPFA/LASAAC Code of Practice on Local Authority Accou</w:t>
      </w:r>
      <w:r>
        <w:rPr>
          <w:rFonts w:cs="Arial"/>
          <w:szCs w:val="22"/>
          <w:lang w:eastAsia="en-US"/>
        </w:rPr>
        <w:t>nting in the United Kingdom 2017/18</w:t>
      </w:r>
    </w:p>
    <w:p w:rsidR="002B7F15" w:rsidRPr="002B7F15" w:rsidRDefault="002B7F15" w:rsidP="002B7F15">
      <w:pPr>
        <w:keepNext/>
        <w:jc w:val="both"/>
        <w:outlineLvl w:val="0"/>
        <w:rPr>
          <w:b/>
        </w:rPr>
      </w:pPr>
    </w:p>
    <w:p w:rsidR="002B7F15" w:rsidRPr="002B7F15" w:rsidRDefault="002B7F15" w:rsidP="002B7F15">
      <w:pPr>
        <w:keepNext/>
        <w:jc w:val="both"/>
        <w:outlineLvl w:val="0"/>
        <w:rPr>
          <w:b/>
        </w:rPr>
      </w:pPr>
      <w:r w:rsidRPr="002B7F15">
        <w:rPr>
          <w:b/>
        </w:rPr>
        <w:t>APPENDICES</w:t>
      </w:r>
    </w:p>
    <w:p w:rsidR="002B7F15" w:rsidRPr="002B7F15" w:rsidRDefault="002B7F15" w:rsidP="002B7F15">
      <w:pPr>
        <w:ind w:left="2160" w:hanging="2160"/>
        <w:jc w:val="both"/>
        <w:rPr>
          <w:rFonts w:cs="Arial"/>
          <w:szCs w:val="22"/>
        </w:rPr>
      </w:pPr>
    </w:p>
    <w:p w:rsidR="004555FD" w:rsidRDefault="004555FD" w:rsidP="001467CC">
      <w:pPr>
        <w:tabs>
          <w:tab w:val="left" w:pos="2839"/>
        </w:tabs>
        <w:jc w:val="both"/>
        <w:rPr>
          <w:szCs w:val="22"/>
        </w:rPr>
      </w:pPr>
      <w:r w:rsidRPr="003A2919">
        <w:rPr>
          <w:szCs w:val="22"/>
        </w:rPr>
        <w:t>Appendix A</w:t>
      </w:r>
      <w:r>
        <w:rPr>
          <w:szCs w:val="22"/>
        </w:rPr>
        <w:t>: Shared Financial Services DRAFT Closure of Accounts Timetable 2017/18</w:t>
      </w:r>
    </w:p>
    <w:p w:rsidR="002F5C5E" w:rsidRDefault="002F5C5E" w:rsidP="001467CC">
      <w:pPr>
        <w:tabs>
          <w:tab w:val="left" w:pos="2839"/>
        </w:tabs>
        <w:jc w:val="both"/>
        <w:rPr>
          <w:szCs w:val="22"/>
        </w:rPr>
      </w:pPr>
      <w:r w:rsidRPr="003A2919">
        <w:rPr>
          <w:szCs w:val="22"/>
        </w:rPr>
        <w:t xml:space="preserve">Appendix </w:t>
      </w:r>
      <w:r w:rsidR="004555FD">
        <w:rPr>
          <w:szCs w:val="22"/>
        </w:rPr>
        <w:t>B</w:t>
      </w:r>
      <w:r w:rsidR="00F24DBD">
        <w:rPr>
          <w:szCs w:val="22"/>
        </w:rPr>
        <w:t xml:space="preserve">: </w:t>
      </w:r>
      <w:r w:rsidR="004555FD">
        <w:rPr>
          <w:szCs w:val="22"/>
        </w:rPr>
        <w:t>Audit Progress Report and Sector Update</w:t>
      </w:r>
      <w:r w:rsidR="00F24DBD">
        <w:rPr>
          <w:szCs w:val="22"/>
        </w:rPr>
        <w:t xml:space="preserve"> (Grant Thornton)</w:t>
      </w:r>
    </w:p>
    <w:p w:rsidR="004555FD" w:rsidRDefault="004555FD" w:rsidP="001467CC">
      <w:pPr>
        <w:tabs>
          <w:tab w:val="left" w:pos="2839"/>
        </w:tabs>
        <w:jc w:val="both"/>
        <w:rPr>
          <w:szCs w:val="22"/>
        </w:rPr>
      </w:pPr>
    </w:p>
    <w:p w:rsidR="001C5E49" w:rsidRDefault="001C5E49" w:rsidP="001467CC">
      <w:pPr>
        <w:tabs>
          <w:tab w:val="left" w:pos="2839"/>
        </w:tabs>
        <w:ind w:left="426" w:hanging="426"/>
        <w:jc w:val="both"/>
        <w:rPr>
          <w:rFonts w:cs="Arial"/>
          <w:color w:val="0070C0"/>
        </w:rPr>
      </w:pPr>
    </w:p>
    <w:p w:rsidR="00817FD0" w:rsidRDefault="00817FD0" w:rsidP="001467CC">
      <w:pPr>
        <w:tabs>
          <w:tab w:val="left" w:pos="2839"/>
        </w:tabs>
        <w:ind w:left="426" w:hanging="426"/>
        <w:jc w:val="both"/>
        <w:rPr>
          <w:rFonts w:cs="Arial"/>
          <w:color w:val="0070C0"/>
        </w:rPr>
      </w:pPr>
    </w:p>
    <w:p w:rsidR="00817FD0" w:rsidRDefault="00817FD0" w:rsidP="001467CC">
      <w:pPr>
        <w:tabs>
          <w:tab w:val="left" w:pos="2839"/>
        </w:tabs>
        <w:ind w:left="426" w:hanging="426"/>
        <w:jc w:val="both"/>
        <w:rPr>
          <w:rFonts w:cs="Arial"/>
          <w:color w:val="0070C0"/>
        </w:rPr>
      </w:pPr>
    </w:p>
    <w:p w:rsidR="001C5E49" w:rsidRPr="00F24DBD" w:rsidRDefault="001C5E49" w:rsidP="001467CC">
      <w:pPr>
        <w:tabs>
          <w:tab w:val="left" w:pos="2839"/>
        </w:tabs>
        <w:ind w:left="426" w:hanging="426"/>
        <w:jc w:val="both"/>
        <w:rPr>
          <w:rFonts w:cs="Arial"/>
        </w:rPr>
      </w:pPr>
      <w:r w:rsidRPr="00F24DBD">
        <w:rPr>
          <w:rFonts w:cs="Arial"/>
        </w:rPr>
        <w:t>SMT Member’s Name</w:t>
      </w:r>
      <w:r w:rsidR="00F24DBD" w:rsidRPr="00F24DBD">
        <w:rPr>
          <w:rFonts w:cs="Arial"/>
        </w:rPr>
        <w:t xml:space="preserve">: Jane Blundell </w:t>
      </w:r>
    </w:p>
    <w:p w:rsidR="001C5E49" w:rsidRPr="00F24DBD" w:rsidRDefault="001C5E49" w:rsidP="001467CC">
      <w:pPr>
        <w:tabs>
          <w:tab w:val="left" w:pos="2839"/>
        </w:tabs>
        <w:jc w:val="both"/>
        <w:rPr>
          <w:rFonts w:cs="Arial"/>
        </w:rPr>
      </w:pPr>
      <w:r w:rsidRPr="00F24DBD">
        <w:rPr>
          <w:rFonts w:cs="Arial"/>
        </w:rPr>
        <w:t>Job Title</w:t>
      </w:r>
      <w:r w:rsidR="0062451B">
        <w:rPr>
          <w:rFonts w:cs="Arial"/>
        </w:rPr>
        <w:t>: Deputy S</w:t>
      </w:r>
      <w:r w:rsidR="00F24DBD" w:rsidRPr="00F24DBD">
        <w:rPr>
          <w:rFonts w:cs="Arial"/>
        </w:rPr>
        <w:t>151</w:t>
      </w:r>
      <w:r w:rsidRPr="00F24DBD">
        <w:rPr>
          <w:rFonts w:cs="Arial"/>
        </w:rPr>
        <w:t xml:space="preserve"> </w:t>
      </w:r>
      <w:r w:rsidR="0062451B">
        <w:rPr>
          <w:rFonts w:cs="Arial"/>
        </w:rPr>
        <w:t>O</w:t>
      </w:r>
      <w:r w:rsidR="00F24DBD">
        <w:rPr>
          <w:rFonts w:cs="Arial"/>
        </w:rPr>
        <w:t>fficer</w:t>
      </w:r>
    </w:p>
    <w:p w:rsidR="001C5E49" w:rsidRPr="007F1945" w:rsidRDefault="001C5E49" w:rsidP="001467CC">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rsidTr="00E2196F">
        <w:tc>
          <w:tcPr>
            <w:tcW w:w="5700" w:type="dxa"/>
            <w:shd w:val="clear" w:color="auto" w:fill="auto"/>
          </w:tcPr>
          <w:p w:rsidR="001C5E49" w:rsidRPr="0031059E" w:rsidRDefault="001C5E49" w:rsidP="001467CC">
            <w:pPr>
              <w:jc w:val="both"/>
              <w:rPr>
                <w:rFonts w:cs="Arial"/>
              </w:rPr>
            </w:pPr>
            <w:r w:rsidRPr="0031059E">
              <w:rPr>
                <w:rFonts w:cs="Arial"/>
              </w:rPr>
              <w:t>Report Author:</w:t>
            </w:r>
          </w:p>
        </w:tc>
        <w:tc>
          <w:tcPr>
            <w:tcW w:w="1559" w:type="dxa"/>
            <w:shd w:val="clear" w:color="auto" w:fill="auto"/>
          </w:tcPr>
          <w:p w:rsidR="001C5E49" w:rsidRPr="0031059E" w:rsidRDefault="001C5E49" w:rsidP="001467CC">
            <w:pPr>
              <w:jc w:val="both"/>
              <w:rPr>
                <w:rFonts w:cs="Arial"/>
              </w:rPr>
            </w:pPr>
            <w:r w:rsidRPr="0031059E">
              <w:rPr>
                <w:rFonts w:cs="Arial"/>
              </w:rPr>
              <w:t>Telephone:</w:t>
            </w:r>
          </w:p>
        </w:tc>
        <w:tc>
          <w:tcPr>
            <w:tcW w:w="2380" w:type="dxa"/>
            <w:shd w:val="clear" w:color="auto" w:fill="auto"/>
          </w:tcPr>
          <w:p w:rsidR="001C5E49" w:rsidRPr="0031059E" w:rsidRDefault="001C5E49" w:rsidP="001467CC">
            <w:pPr>
              <w:jc w:val="both"/>
              <w:rPr>
                <w:rFonts w:cs="Arial"/>
              </w:rPr>
            </w:pPr>
            <w:r w:rsidRPr="0031059E">
              <w:rPr>
                <w:rFonts w:cs="Arial"/>
              </w:rPr>
              <w:t>Date:</w:t>
            </w:r>
          </w:p>
        </w:tc>
      </w:tr>
      <w:tr w:rsidR="001C5E49" w:rsidTr="00E2196F">
        <w:tc>
          <w:tcPr>
            <w:tcW w:w="5700" w:type="dxa"/>
            <w:shd w:val="clear" w:color="auto" w:fill="auto"/>
          </w:tcPr>
          <w:p w:rsidR="001C5E49" w:rsidRDefault="004555FD" w:rsidP="001467CC">
            <w:pPr>
              <w:ind w:left="-539" w:firstLine="539"/>
              <w:jc w:val="both"/>
              <w:rPr>
                <w:rFonts w:cs="Arial"/>
              </w:rPr>
            </w:pPr>
            <w:r>
              <w:rPr>
                <w:rFonts w:cs="Arial"/>
              </w:rPr>
              <w:t>Lee Hurst</w:t>
            </w:r>
          </w:p>
          <w:p w:rsidR="00F24DBD" w:rsidRPr="0031059E" w:rsidRDefault="00FC3332" w:rsidP="001467CC">
            <w:pPr>
              <w:ind w:left="-539" w:firstLine="539"/>
              <w:jc w:val="both"/>
              <w:rPr>
                <w:rFonts w:cs="Arial"/>
              </w:rPr>
            </w:pPr>
            <w:r>
              <w:rPr>
                <w:rFonts w:cs="Arial"/>
              </w:rPr>
              <w:t>Principal Systems &amp; Financial Accountant</w:t>
            </w:r>
          </w:p>
        </w:tc>
        <w:tc>
          <w:tcPr>
            <w:tcW w:w="1559" w:type="dxa"/>
            <w:shd w:val="clear" w:color="auto" w:fill="auto"/>
          </w:tcPr>
          <w:p w:rsidR="001C5E49" w:rsidRPr="0031059E" w:rsidRDefault="004555FD" w:rsidP="001467CC">
            <w:pPr>
              <w:jc w:val="both"/>
              <w:rPr>
                <w:rFonts w:cs="Arial"/>
              </w:rPr>
            </w:pPr>
            <w:r>
              <w:rPr>
                <w:rFonts w:cs="Arial"/>
              </w:rPr>
              <w:t>01257 515481</w:t>
            </w:r>
          </w:p>
        </w:tc>
        <w:tc>
          <w:tcPr>
            <w:tcW w:w="2380" w:type="dxa"/>
            <w:shd w:val="clear" w:color="auto" w:fill="auto"/>
          </w:tcPr>
          <w:p w:rsidR="001C5E49" w:rsidRPr="0031059E" w:rsidRDefault="004555FD" w:rsidP="001467CC">
            <w:pPr>
              <w:jc w:val="both"/>
              <w:rPr>
                <w:rFonts w:cs="Arial"/>
              </w:rPr>
            </w:pPr>
            <w:r>
              <w:rPr>
                <w:rFonts w:cs="Arial"/>
              </w:rPr>
              <w:t>18</w:t>
            </w:r>
            <w:r w:rsidR="00F24DBD">
              <w:rPr>
                <w:rFonts w:cs="Arial"/>
              </w:rPr>
              <w:t>/</w:t>
            </w:r>
            <w:r>
              <w:rPr>
                <w:rFonts w:cs="Arial"/>
              </w:rPr>
              <w:t>01</w:t>
            </w:r>
            <w:r w:rsidR="00F24DBD">
              <w:rPr>
                <w:rFonts w:cs="Arial"/>
              </w:rPr>
              <w:t>/1</w:t>
            </w:r>
            <w:r>
              <w:rPr>
                <w:rFonts w:cs="Arial"/>
              </w:rPr>
              <w:t>8</w:t>
            </w:r>
          </w:p>
        </w:tc>
      </w:tr>
    </w:tbl>
    <w:p w:rsidR="001C5E49" w:rsidRDefault="001C5E49" w:rsidP="00817FD0">
      <w:pPr>
        <w:jc w:val="both"/>
        <w:rPr>
          <w:rFonts w:cs="Arial"/>
        </w:rPr>
      </w:pPr>
    </w:p>
    <w:sectPr w:rsidR="001C5E49"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13" w:rsidRDefault="00AD6613">
      <w:r>
        <w:separator/>
      </w:r>
    </w:p>
  </w:endnote>
  <w:endnote w:type="continuationSeparator" w:id="0">
    <w:p w:rsidR="00AD6613" w:rsidRDefault="00AD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F3F6C">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13" w:rsidRDefault="00AD6613">
      <w:r>
        <w:separator/>
      </w:r>
    </w:p>
  </w:footnote>
  <w:footnote w:type="continuationSeparator" w:id="0">
    <w:p w:rsidR="00AD6613" w:rsidRDefault="00AD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2655"/>
    <w:multiLevelType w:val="hybridMultilevel"/>
    <w:tmpl w:val="947A8450"/>
    <w:lvl w:ilvl="0" w:tplc="7432FB96">
      <w:start w:val="1"/>
      <w:numFmt w:val="bullet"/>
      <w:lvlText w:val="►"/>
      <w:lvlJc w:val="left"/>
      <w:pPr>
        <w:tabs>
          <w:tab w:val="num" w:pos="720"/>
        </w:tabs>
        <w:ind w:left="720" w:hanging="360"/>
      </w:pPr>
      <w:rPr>
        <w:rFonts w:ascii="Arial" w:hAnsi="Arial" w:hint="default"/>
      </w:rPr>
    </w:lvl>
    <w:lvl w:ilvl="1" w:tplc="3FD40C02">
      <w:start w:val="1"/>
      <w:numFmt w:val="bullet"/>
      <w:lvlText w:val="►"/>
      <w:lvlJc w:val="left"/>
      <w:pPr>
        <w:tabs>
          <w:tab w:val="num" w:pos="1440"/>
        </w:tabs>
        <w:ind w:left="1440" w:hanging="360"/>
      </w:pPr>
      <w:rPr>
        <w:rFonts w:ascii="Arial" w:hAnsi="Arial" w:hint="default"/>
      </w:rPr>
    </w:lvl>
    <w:lvl w:ilvl="2" w:tplc="F392DCB2" w:tentative="1">
      <w:start w:val="1"/>
      <w:numFmt w:val="bullet"/>
      <w:lvlText w:val="►"/>
      <w:lvlJc w:val="left"/>
      <w:pPr>
        <w:tabs>
          <w:tab w:val="num" w:pos="2160"/>
        </w:tabs>
        <w:ind w:left="2160" w:hanging="360"/>
      </w:pPr>
      <w:rPr>
        <w:rFonts w:ascii="Arial" w:hAnsi="Arial" w:hint="default"/>
      </w:rPr>
    </w:lvl>
    <w:lvl w:ilvl="3" w:tplc="11C4E56C" w:tentative="1">
      <w:start w:val="1"/>
      <w:numFmt w:val="bullet"/>
      <w:lvlText w:val="►"/>
      <w:lvlJc w:val="left"/>
      <w:pPr>
        <w:tabs>
          <w:tab w:val="num" w:pos="2880"/>
        </w:tabs>
        <w:ind w:left="2880" w:hanging="360"/>
      </w:pPr>
      <w:rPr>
        <w:rFonts w:ascii="Arial" w:hAnsi="Arial" w:hint="default"/>
      </w:rPr>
    </w:lvl>
    <w:lvl w:ilvl="4" w:tplc="DE3C4506" w:tentative="1">
      <w:start w:val="1"/>
      <w:numFmt w:val="bullet"/>
      <w:lvlText w:val="►"/>
      <w:lvlJc w:val="left"/>
      <w:pPr>
        <w:tabs>
          <w:tab w:val="num" w:pos="3600"/>
        </w:tabs>
        <w:ind w:left="3600" w:hanging="360"/>
      </w:pPr>
      <w:rPr>
        <w:rFonts w:ascii="Arial" w:hAnsi="Arial" w:hint="default"/>
      </w:rPr>
    </w:lvl>
    <w:lvl w:ilvl="5" w:tplc="8CA4FB9C" w:tentative="1">
      <w:start w:val="1"/>
      <w:numFmt w:val="bullet"/>
      <w:lvlText w:val="►"/>
      <w:lvlJc w:val="left"/>
      <w:pPr>
        <w:tabs>
          <w:tab w:val="num" w:pos="4320"/>
        </w:tabs>
        <w:ind w:left="4320" w:hanging="360"/>
      </w:pPr>
      <w:rPr>
        <w:rFonts w:ascii="Arial" w:hAnsi="Arial" w:hint="default"/>
      </w:rPr>
    </w:lvl>
    <w:lvl w:ilvl="6" w:tplc="205E373A" w:tentative="1">
      <w:start w:val="1"/>
      <w:numFmt w:val="bullet"/>
      <w:lvlText w:val="►"/>
      <w:lvlJc w:val="left"/>
      <w:pPr>
        <w:tabs>
          <w:tab w:val="num" w:pos="5040"/>
        </w:tabs>
        <w:ind w:left="5040" w:hanging="360"/>
      </w:pPr>
      <w:rPr>
        <w:rFonts w:ascii="Arial" w:hAnsi="Arial" w:hint="default"/>
      </w:rPr>
    </w:lvl>
    <w:lvl w:ilvl="7" w:tplc="318E8062" w:tentative="1">
      <w:start w:val="1"/>
      <w:numFmt w:val="bullet"/>
      <w:lvlText w:val="►"/>
      <w:lvlJc w:val="left"/>
      <w:pPr>
        <w:tabs>
          <w:tab w:val="num" w:pos="5760"/>
        </w:tabs>
        <w:ind w:left="5760" w:hanging="360"/>
      </w:pPr>
      <w:rPr>
        <w:rFonts w:ascii="Arial" w:hAnsi="Arial" w:hint="default"/>
      </w:rPr>
    </w:lvl>
    <w:lvl w:ilvl="8" w:tplc="D4486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D1C2B"/>
    <w:multiLevelType w:val="hybridMultilevel"/>
    <w:tmpl w:val="8C528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404991"/>
    <w:multiLevelType w:val="hybridMultilevel"/>
    <w:tmpl w:val="1832AB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835F29"/>
    <w:multiLevelType w:val="hybridMultilevel"/>
    <w:tmpl w:val="DE4ED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F4DE5"/>
    <w:multiLevelType w:val="hybridMultilevel"/>
    <w:tmpl w:val="FA8A2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624A6"/>
    <w:multiLevelType w:val="hybridMultilevel"/>
    <w:tmpl w:val="64625AC6"/>
    <w:lvl w:ilvl="0" w:tplc="B5FC2120">
      <w:start w:val="1"/>
      <w:numFmt w:val="bullet"/>
      <w:lvlText w:val="►"/>
      <w:lvlJc w:val="left"/>
      <w:pPr>
        <w:tabs>
          <w:tab w:val="num" w:pos="720"/>
        </w:tabs>
        <w:ind w:left="720" w:hanging="360"/>
      </w:pPr>
      <w:rPr>
        <w:rFonts w:ascii="Arial" w:hAnsi="Arial" w:hint="default"/>
      </w:rPr>
    </w:lvl>
    <w:lvl w:ilvl="1" w:tplc="42620C9A">
      <w:start w:val="1"/>
      <w:numFmt w:val="bullet"/>
      <w:lvlText w:val="►"/>
      <w:lvlJc w:val="left"/>
      <w:pPr>
        <w:tabs>
          <w:tab w:val="num" w:pos="1440"/>
        </w:tabs>
        <w:ind w:left="1440" w:hanging="360"/>
      </w:pPr>
      <w:rPr>
        <w:rFonts w:ascii="Arial" w:hAnsi="Arial" w:hint="default"/>
      </w:rPr>
    </w:lvl>
    <w:lvl w:ilvl="2" w:tplc="F17A915A" w:tentative="1">
      <w:start w:val="1"/>
      <w:numFmt w:val="bullet"/>
      <w:lvlText w:val="►"/>
      <w:lvlJc w:val="left"/>
      <w:pPr>
        <w:tabs>
          <w:tab w:val="num" w:pos="2160"/>
        </w:tabs>
        <w:ind w:left="2160" w:hanging="360"/>
      </w:pPr>
      <w:rPr>
        <w:rFonts w:ascii="Arial" w:hAnsi="Arial" w:hint="default"/>
      </w:rPr>
    </w:lvl>
    <w:lvl w:ilvl="3" w:tplc="C8865DBC" w:tentative="1">
      <w:start w:val="1"/>
      <w:numFmt w:val="bullet"/>
      <w:lvlText w:val="►"/>
      <w:lvlJc w:val="left"/>
      <w:pPr>
        <w:tabs>
          <w:tab w:val="num" w:pos="2880"/>
        </w:tabs>
        <w:ind w:left="2880" w:hanging="360"/>
      </w:pPr>
      <w:rPr>
        <w:rFonts w:ascii="Arial" w:hAnsi="Arial" w:hint="default"/>
      </w:rPr>
    </w:lvl>
    <w:lvl w:ilvl="4" w:tplc="8A7E97AC" w:tentative="1">
      <w:start w:val="1"/>
      <w:numFmt w:val="bullet"/>
      <w:lvlText w:val="►"/>
      <w:lvlJc w:val="left"/>
      <w:pPr>
        <w:tabs>
          <w:tab w:val="num" w:pos="3600"/>
        </w:tabs>
        <w:ind w:left="3600" w:hanging="360"/>
      </w:pPr>
      <w:rPr>
        <w:rFonts w:ascii="Arial" w:hAnsi="Arial" w:hint="default"/>
      </w:rPr>
    </w:lvl>
    <w:lvl w:ilvl="5" w:tplc="45E281C8" w:tentative="1">
      <w:start w:val="1"/>
      <w:numFmt w:val="bullet"/>
      <w:lvlText w:val="►"/>
      <w:lvlJc w:val="left"/>
      <w:pPr>
        <w:tabs>
          <w:tab w:val="num" w:pos="4320"/>
        </w:tabs>
        <w:ind w:left="4320" w:hanging="360"/>
      </w:pPr>
      <w:rPr>
        <w:rFonts w:ascii="Arial" w:hAnsi="Arial" w:hint="default"/>
      </w:rPr>
    </w:lvl>
    <w:lvl w:ilvl="6" w:tplc="79541FDC" w:tentative="1">
      <w:start w:val="1"/>
      <w:numFmt w:val="bullet"/>
      <w:lvlText w:val="►"/>
      <w:lvlJc w:val="left"/>
      <w:pPr>
        <w:tabs>
          <w:tab w:val="num" w:pos="5040"/>
        </w:tabs>
        <w:ind w:left="5040" w:hanging="360"/>
      </w:pPr>
      <w:rPr>
        <w:rFonts w:ascii="Arial" w:hAnsi="Arial" w:hint="default"/>
      </w:rPr>
    </w:lvl>
    <w:lvl w:ilvl="7" w:tplc="A38A4EA0" w:tentative="1">
      <w:start w:val="1"/>
      <w:numFmt w:val="bullet"/>
      <w:lvlText w:val="►"/>
      <w:lvlJc w:val="left"/>
      <w:pPr>
        <w:tabs>
          <w:tab w:val="num" w:pos="5760"/>
        </w:tabs>
        <w:ind w:left="5760" w:hanging="360"/>
      </w:pPr>
      <w:rPr>
        <w:rFonts w:ascii="Arial" w:hAnsi="Arial" w:hint="default"/>
      </w:rPr>
    </w:lvl>
    <w:lvl w:ilvl="8" w:tplc="E00E2B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83FCF"/>
    <w:multiLevelType w:val="hybridMultilevel"/>
    <w:tmpl w:val="41221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A7615"/>
    <w:multiLevelType w:val="hybridMultilevel"/>
    <w:tmpl w:val="A09AA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7"/>
  </w:num>
  <w:num w:numId="4">
    <w:abstractNumId w:val="8"/>
  </w:num>
  <w:num w:numId="5">
    <w:abstractNumId w:val="12"/>
  </w:num>
  <w:num w:numId="6">
    <w:abstractNumId w:val="6"/>
  </w:num>
  <w:num w:numId="7">
    <w:abstractNumId w:val="4"/>
  </w:num>
  <w:num w:numId="8">
    <w:abstractNumId w:val="5"/>
  </w:num>
  <w:num w:numId="9">
    <w:abstractNumId w:val="0"/>
  </w:num>
  <w:num w:numId="10">
    <w:abstractNumId w:val="2"/>
  </w:num>
  <w:num w:numId="11">
    <w:abstractNumId w:val="3"/>
  </w:num>
  <w:num w:numId="12">
    <w:abstractNumId w:val="7"/>
  </w:num>
  <w:num w:numId="13">
    <w:abstractNumId w:val="10"/>
  </w:num>
  <w:num w:numId="14">
    <w:abstractNumId w:val="16"/>
  </w:num>
  <w:num w:numId="15">
    <w:abstractNumId w:val="19"/>
  </w:num>
  <w:num w:numId="16">
    <w:abstractNumId w:val="9"/>
  </w:num>
  <w:num w:numId="17">
    <w:abstractNumId w:val="15"/>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A7D"/>
    <w:rsid w:val="00016DD3"/>
    <w:rsid w:val="00025DED"/>
    <w:rsid w:val="0003128F"/>
    <w:rsid w:val="00040039"/>
    <w:rsid w:val="000411A0"/>
    <w:rsid w:val="00044B96"/>
    <w:rsid w:val="000501DD"/>
    <w:rsid w:val="00066755"/>
    <w:rsid w:val="000B790E"/>
    <w:rsid w:val="000C4A67"/>
    <w:rsid w:val="000E10FE"/>
    <w:rsid w:val="000F2C8A"/>
    <w:rsid w:val="00103903"/>
    <w:rsid w:val="001467CC"/>
    <w:rsid w:val="001544DD"/>
    <w:rsid w:val="00184E1D"/>
    <w:rsid w:val="001C5E49"/>
    <w:rsid w:val="001E1B24"/>
    <w:rsid w:val="001E1B68"/>
    <w:rsid w:val="001E2D03"/>
    <w:rsid w:val="001F3F6C"/>
    <w:rsid w:val="0021003E"/>
    <w:rsid w:val="002221BD"/>
    <w:rsid w:val="00253320"/>
    <w:rsid w:val="0025591B"/>
    <w:rsid w:val="002820A5"/>
    <w:rsid w:val="002966B9"/>
    <w:rsid w:val="002A0680"/>
    <w:rsid w:val="002B7F15"/>
    <w:rsid w:val="002E4FF4"/>
    <w:rsid w:val="002F5C5E"/>
    <w:rsid w:val="00314816"/>
    <w:rsid w:val="00342AB1"/>
    <w:rsid w:val="00345C71"/>
    <w:rsid w:val="00386AAD"/>
    <w:rsid w:val="003902A2"/>
    <w:rsid w:val="003A1B3F"/>
    <w:rsid w:val="003A23D3"/>
    <w:rsid w:val="003A2919"/>
    <w:rsid w:val="003B1E6D"/>
    <w:rsid w:val="003C36EB"/>
    <w:rsid w:val="003E33E6"/>
    <w:rsid w:val="003F5603"/>
    <w:rsid w:val="00405D4A"/>
    <w:rsid w:val="004218EA"/>
    <w:rsid w:val="00442C46"/>
    <w:rsid w:val="004555FD"/>
    <w:rsid w:val="004609D0"/>
    <w:rsid w:val="00474DA8"/>
    <w:rsid w:val="0047741D"/>
    <w:rsid w:val="004A45D4"/>
    <w:rsid w:val="004D7260"/>
    <w:rsid w:val="004F23B3"/>
    <w:rsid w:val="005041BB"/>
    <w:rsid w:val="00533525"/>
    <w:rsid w:val="00547120"/>
    <w:rsid w:val="00547481"/>
    <w:rsid w:val="0054767E"/>
    <w:rsid w:val="00571856"/>
    <w:rsid w:val="00576A82"/>
    <w:rsid w:val="005A26AD"/>
    <w:rsid w:val="005B09B5"/>
    <w:rsid w:val="005B0C36"/>
    <w:rsid w:val="005D4F59"/>
    <w:rsid w:val="005E1D64"/>
    <w:rsid w:val="005E6F5B"/>
    <w:rsid w:val="0060374B"/>
    <w:rsid w:val="0062451B"/>
    <w:rsid w:val="00630F86"/>
    <w:rsid w:val="00633396"/>
    <w:rsid w:val="00641B4A"/>
    <w:rsid w:val="00645A0B"/>
    <w:rsid w:val="00646967"/>
    <w:rsid w:val="006531EE"/>
    <w:rsid w:val="006555E6"/>
    <w:rsid w:val="006876CC"/>
    <w:rsid w:val="006879CA"/>
    <w:rsid w:val="006B13F3"/>
    <w:rsid w:val="006B645E"/>
    <w:rsid w:val="006B7116"/>
    <w:rsid w:val="006C04C1"/>
    <w:rsid w:val="006C209A"/>
    <w:rsid w:val="006D5622"/>
    <w:rsid w:val="006E09FB"/>
    <w:rsid w:val="006F1494"/>
    <w:rsid w:val="006F2214"/>
    <w:rsid w:val="006F76A3"/>
    <w:rsid w:val="00707E99"/>
    <w:rsid w:val="00712E3F"/>
    <w:rsid w:val="00725FC0"/>
    <w:rsid w:val="00735683"/>
    <w:rsid w:val="00757C36"/>
    <w:rsid w:val="00767486"/>
    <w:rsid w:val="007935DD"/>
    <w:rsid w:val="007B612C"/>
    <w:rsid w:val="007D1C9E"/>
    <w:rsid w:val="00812229"/>
    <w:rsid w:val="00817FD0"/>
    <w:rsid w:val="0083249B"/>
    <w:rsid w:val="00851B9A"/>
    <w:rsid w:val="00893AD2"/>
    <w:rsid w:val="008A2E50"/>
    <w:rsid w:val="008A2F6B"/>
    <w:rsid w:val="008A42E3"/>
    <w:rsid w:val="008A77AB"/>
    <w:rsid w:val="008B41C5"/>
    <w:rsid w:val="008C3B1A"/>
    <w:rsid w:val="008D5169"/>
    <w:rsid w:val="008D623F"/>
    <w:rsid w:val="008E5E47"/>
    <w:rsid w:val="008F4B91"/>
    <w:rsid w:val="0090542C"/>
    <w:rsid w:val="009350CB"/>
    <w:rsid w:val="00951015"/>
    <w:rsid w:val="00952C31"/>
    <w:rsid w:val="009538AE"/>
    <w:rsid w:val="00976F87"/>
    <w:rsid w:val="00980267"/>
    <w:rsid w:val="00983CD5"/>
    <w:rsid w:val="00992E79"/>
    <w:rsid w:val="009A714A"/>
    <w:rsid w:val="009C1143"/>
    <w:rsid w:val="009E48E0"/>
    <w:rsid w:val="009E7F5A"/>
    <w:rsid w:val="00A1406A"/>
    <w:rsid w:val="00A22426"/>
    <w:rsid w:val="00A22D02"/>
    <w:rsid w:val="00A268A6"/>
    <w:rsid w:val="00A30426"/>
    <w:rsid w:val="00A43FEB"/>
    <w:rsid w:val="00A4702E"/>
    <w:rsid w:val="00A50754"/>
    <w:rsid w:val="00A76482"/>
    <w:rsid w:val="00AA7E2B"/>
    <w:rsid w:val="00AC4A99"/>
    <w:rsid w:val="00AD3258"/>
    <w:rsid w:val="00AD6613"/>
    <w:rsid w:val="00B05FE8"/>
    <w:rsid w:val="00B06720"/>
    <w:rsid w:val="00B1788B"/>
    <w:rsid w:val="00B36135"/>
    <w:rsid w:val="00B443DD"/>
    <w:rsid w:val="00B51DB8"/>
    <w:rsid w:val="00B57841"/>
    <w:rsid w:val="00B62D79"/>
    <w:rsid w:val="00B70B91"/>
    <w:rsid w:val="00B716F5"/>
    <w:rsid w:val="00B72A06"/>
    <w:rsid w:val="00B766C4"/>
    <w:rsid w:val="00B96DE3"/>
    <w:rsid w:val="00BA2606"/>
    <w:rsid w:val="00BC30D9"/>
    <w:rsid w:val="00BC6635"/>
    <w:rsid w:val="00BE546F"/>
    <w:rsid w:val="00C022F9"/>
    <w:rsid w:val="00C04193"/>
    <w:rsid w:val="00C209E3"/>
    <w:rsid w:val="00C30128"/>
    <w:rsid w:val="00C41F22"/>
    <w:rsid w:val="00C52450"/>
    <w:rsid w:val="00C64ED1"/>
    <w:rsid w:val="00C66BAA"/>
    <w:rsid w:val="00CB32DF"/>
    <w:rsid w:val="00CC3246"/>
    <w:rsid w:val="00CE3DA1"/>
    <w:rsid w:val="00CE4482"/>
    <w:rsid w:val="00CF6B60"/>
    <w:rsid w:val="00D03328"/>
    <w:rsid w:val="00D36638"/>
    <w:rsid w:val="00D37BAE"/>
    <w:rsid w:val="00D772AB"/>
    <w:rsid w:val="00D90A00"/>
    <w:rsid w:val="00D91845"/>
    <w:rsid w:val="00D9371C"/>
    <w:rsid w:val="00DB3FD0"/>
    <w:rsid w:val="00DE5E12"/>
    <w:rsid w:val="00E05B7D"/>
    <w:rsid w:val="00E1004C"/>
    <w:rsid w:val="00E21708"/>
    <w:rsid w:val="00E2196F"/>
    <w:rsid w:val="00E2276E"/>
    <w:rsid w:val="00E41950"/>
    <w:rsid w:val="00E467FE"/>
    <w:rsid w:val="00E569CB"/>
    <w:rsid w:val="00E577A2"/>
    <w:rsid w:val="00E60A53"/>
    <w:rsid w:val="00E733A5"/>
    <w:rsid w:val="00E753EC"/>
    <w:rsid w:val="00E771B3"/>
    <w:rsid w:val="00E84459"/>
    <w:rsid w:val="00E971A2"/>
    <w:rsid w:val="00EB2D32"/>
    <w:rsid w:val="00EB7C94"/>
    <w:rsid w:val="00ED257A"/>
    <w:rsid w:val="00F24DBD"/>
    <w:rsid w:val="00F3057A"/>
    <w:rsid w:val="00F30E9C"/>
    <w:rsid w:val="00F55E4D"/>
    <w:rsid w:val="00F61752"/>
    <w:rsid w:val="00F67F95"/>
    <w:rsid w:val="00FB6093"/>
    <w:rsid w:val="00FC333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ED1C140-D4DD-49C7-9335-60AF84D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E2170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599395">
      <w:bodyDiv w:val="1"/>
      <w:marLeft w:val="0"/>
      <w:marRight w:val="0"/>
      <w:marTop w:val="0"/>
      <w:marBottom w:val="0"/>
      <w:divBdr>
        <w:top w:val="none" w:sz="0" w:space="0" w:color="auto"/>
        <w:left w:val="none" w:sz="0" w:space="0" w:color="auto"/>
        <w:bottom w:val="none" w:sz="0" w:space="0" w:color="auto"/>
        <w:right w:val="none" w:sz="0" w:space="0" w:color="auto"/>
      </w:divBdr>
    </w:div>
    <w:div w:id="177471793">
      <w:bodyDiv w:val="1"/>
      <w:marLeft w:val="0"/>
      <w:marRight w:val="0"/>
      <w:marTop w:val="0"/>
      <w:marBottom w:val="0"/>
      <w:divBdr>
        <w:top w:val="none" w:sz="0" w:space="0" w:color="auto"/>
        <w:left w:val="none" w:sz="0" w:space="0" w:color="auto"/>
        <w:bottom w:val="none" w:sz="0" w:space="0" w:color="auto"/>
        <w:right w:val="none" w:sz="0" w:space="0" w:color="auto"/>
      </w:divBdr>
      <w:divsChild>
        <w:div w:id="1607536935">
          <w:marLeft w:val="-225"/>
          <w:marRight w:val="-225"/>
          <w:marTop w:val="0"/>
          <w:marBottom w:val="0"/>
          <w:divBdr>
            <w:top w:val="none" w:sz="0" w:space="0" w:color="auto"/>
            <w:left w:val="none" w:sz="0" w:space="0" w:color="auto"/>
            <w:bottom w:val="none" w:sz="0" w:space="0" w:color="auto"/>
            <w:right w:val="none" w:sz="0" w:space="0" w:color="auto"/>
          </w:divBdr>
          <w:divsChild>
            <w:div w:id="1918131849">
              <w:marLeft w:val="0"/>
              <w:marRight w:val="0"/>
              <w:marTop w:val="0"/>
              <w:marBottom w:val="0"/>
              <w:divBdr>
                <w:top w:val="none" w:sz="0" w:space="0" w:color="auto"/>
                <w:left w:val="none" w:sz="0" w:space="0" w:color="auto"/>
                <w:bottom w:val="none" w:sz="0" w:space="0" w:color="auto"/>
                <w:right w:val="none" w:sz="0" w:space="0" w:color="auto"/>
              </w:divBdr>
              <w:divsChild>
                <w:div w:id="487408908">
                  <w:marLeft w:val="0"/>
                  <w:marRight w:val="0"/>
                  <w:marTop w:val="0"/>
                  <w:marBottom w:val="0"/>
                  <w:divBdr>
                    <w:top w:val="none" w:sz="0" w:space="0" w:color="auto"/>
                    <w:left w:val="none" w:sz="0" w:space="0" w:color="auto"/>
                    <w:bottom w:val="none" w:sz="0" w:space="0" w:color="auto"/>
                    <w:right w:val="none" w:sz="0" w:space="0" w:color="auto"/>
                  </w:divBdr>
                  <w:divsChild>
                    <w:div w:id="1710952593">
                      <w:marLeft w:val="0"/>
                      <w:marRight w:val="0"/>
                      <w:marTop w:val="0"/>
                      <w:marBottom w:val="0"/>
                      <w:divBdr>
                        <w:top w:val="none" w:sz="0" w:space="0" w:color="auto"/>
                        <w:left w:val="none" w:sz="0" w:space="0" w:color="auto"/>
                        <w:bottom w:val="none" w:sz="0" w:space="0" w:color="auto"/>
                        <w:right w:val="none" w:sz="0" w:space="0" w:color="auto"/>
                      </w:divBdr>
                      <w:divsChild>
                        <w:div w:id="1583102405">
                          <w:marLeft w:val="0"/>
                          <w:marRight w:val="0"/>
                          <w:marTop w:val="0"/>
                          <w:marBottom w:val="0"/>
                          <w:divBdr>
                            <w:top w:val="none" w:sz="0" w:space="0" w:color="auto"/>
                            <w:left w:val="none" w:sz="0" w:space="0" w:color="auto"/>
                            <w:bottom w:val="none" w:sz="0" w:space="0" w:color="auto"/>
                            <w:right w:val="none" w:sz="0" w:space="0" w:color="auto"/>
                          </w:divBdr>
                          <w:divsChild>
                            <w:div w:id="1668942030">
                              <w:marLeft w:val="0"/>
                              <w:marRight w:val="0"/>
                              <w:marTop w:val="120"/>
                              <w:marBottom w:val="120"/>
                              <w:divBdr>
                                <w:top w:val="none" w:sz="0" w:space="0" w:color="auto"/>
                                <w:left w:val="none" w:sz="0" w:space="0" w:color="auto"/>
                                <w:bottom w:val="none" w:sz="0" w:space="0" w:color="auto"/>
                                <w:right w:val="none" w:sz="0" w:space="0" w:color="auto"/>
                              </w:divBdr>
                              <w:divsChild>
                                <w:div w:id="138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03025433">
      <w:bodyDiv w:val="1"/>
      <w:marLeft w:val="0"/>
      <w:marRight w:val="0"/>
      <w:marTop w:val="0"/>
      <w:marBottom w:val="0"/>
      <w:divBdr>
        <w:top w:val="none" w:sz="0" w:space="0" w:color="auto"/>
        <w:left w:val="none" w:sz="0" w:space="0" w:color="auto"/>
        <w:bottom w:val="none" w:sz="0" w:space="0" w:color="auto"/>
        <w:right w:val="none" w:sz="0" w:space="0" w:color="auto"/>
      </w:divBdr>
      <w:divsChild>
        <w:div w:id="12919652">
          <w:marLeft w:val="1166"/>
          <w:marRight w:val="0"/>
          <w:marTop w:val="48"/>
          <w:marBottom w:val="0"/>
          <w:divBdr>
            <w:top w:val="none" w:sz="0" w:space="0" w:color="auto"/>
            <w:left w:val="none" w:sz="0" w:space="0" w:color="auto"/>
            <w:bottom w:val="none" w:sz="0" w:space="0" w:color="auto"/>
            <w:right w:val="none" w:sz="0" w:space="0" w:color="auto"/>
          </w:divBdr>
        </w:div>
        <w:div w:id="222065725">
          <w:marLeft w:val="1166"/>
          <w:marRight w:val="0"/>
          <w:marTop w:val="48"/>
          <w:marBottom w:val="0"/>
          <w:divBdr>
            <w:top w:val="none" w:sz="0" w:space="0" w:color="auto"/>
            <w:left w:val="none" w:sz="0" w:space="0" w:color="auto"/>
            <w:bottom w:val="none" w:sz="0" w:space="0" w:color="auto"/>
            <w:right w:val="none" w:sz="0" w:space="0" w:color="auto"/>
          </w:divBdr>
        </w:div>
        <w:div w:id="347145690">
          <w:marLeft w:val="1166"/>
          <w:marRight w:val="0"/>
          <w:marTop w:val="48"/>
          <w:marBottom w:val="0"/>
          <w:divBdr>
            <w:top w:val="none" w:sz="0" w:space="0" w:color="auto"/>
            <w:left w:val="none" w:sz="0" w:space="0" w:color="auto"/>
            <w:bottom w:val="none" w:sz="0" w:space="0" w:color="auto"/>
            <w:right w:val="none" w:sz="0" w:space="0" w:color="auto"/>
          </w:divBdr>
        </w:div>
        <w:div w:id="1406761184">
          <w:marLeft w:val="1166"/>
          <w:marRight w:val="0"/>
          <w:marTop w:val="48"/>
          <w:marBottom w:val="0"/>
          <w:divBdr>
            <w:top w:val="none" w:sz="0" w:space="0" w:color="auto"/>
            <w:left w:val="none" w:sz="0" w:space="0" w:color="auto"/>
            <w:bottom w:val="none" w:sz="0" w:space="0" w:color="auto"/>
            <w:right w:val="none" w:sz="0" w:space="0" w:color="auto"/>
          </w:divBdr>
        </w:div>
        <w:div w:id="1564873889">
          <w:marLeft w:val="1166"/>
          <w:marRight w:val="0"/>
          <w:marTop w:val="48"/>
          <w:marBottom w:val="0"/>
          <w:divBdr>
            <w:top w:val="none" w:sz="0" w:space="0" w:color="auto"/>
            <w:left w:val="none" w:sz="0" w:space="0" w:color="auto"/>
            <w:bottom w:val="none" w:sz="0" w:space="0" w:color="auto"/>
            <w:right w:val="none" w:sz="0" w:space="0" w:color="auto"/>
          </w:divBdr>
        </w:div>
        <w:div w:id="1652060044">
          <w:marLeft w:val="1166"/>
          <w:marRight w:val="0"/>
          <w:marTop w:val="48"/>
          <w:marBottom w:val="0"/>
          <w:divBdr>
            <w:top w:val="none" w:sz="0" w:space="0" w:color="auto"/>
            <w:left w:val="none" w:sz="0" w:space="0" w:color="auto"/>
            <w:bottom w:val="none" w:sz="0" w:space="0" w:color="auto"/>
            <w:right w:val="none" w:sz="0" w:space="0" w:color="auto"/>
          </w:divBdr>
        </w:div>
        <w:div w:id="1703049927">
          <w:marLeft w:val="1166"/>
          <w:marRight w:val="0"/>
          <w:marTop w:val="48"/>
          <w:marBottom w:val="0"/>
          <w:divBdr>
            <w:top w:val="none" w:sz="0" w:space="0" w:color="auto"/>
            <w:left w:val="none" w:sz="0" w:space="0" w:color="auto"/>
            <w:bottom w:val="none" w:sz="0" w:space="0" w:color="auto"/>
            <w:right w:val="none" w:sz="0" w:space="0" w:color="auto"/>
          </w:divBdr>
        </w:div>
        <w:div w:id="2002150652">
          <w:marLeft w:val="1166"/>
          <w:marRight w:val="0"/>
          <w:marTop w:val="48"/>
          <w:marBottom w:val="0"/>
          <w:divBdr>
            <w:top w:val="none" w:sz="0" w:space="0" w:color="auto"/>
            <w:left w:val="none" w:sz="0" w:space="0" w:color="auto"/>
            <w:bottom w:val="none" w:sz="0" w:space="0" w:color="auto"/>
            <w:right w:val="none" w:sz="0" w:space="0" w:color="auto"/>
          </w:divBdr>
        </w:div>
        <w:div w:id="2015842952">
          <w:marLeft w:val="1166"/>
          <w:marRight w:val="0"/>
          <w:marTop w:val="48"/>
          <w:marBottom w:val="0"/>
          <w:divBdr>
            <w:top w:val="none" w:sz="0" w:space="0" w:color="auto"/>
            <w:left w:val="none" w:sz="0" w:space="0" w:color="auto"/>
            <w:bottom w:val="none" w:sz="0" w:space="0" w:color="auto"/>
            <w:right w:val="none" w:sz="0" w:space="0" w:color="auto"/>
          </w:divBdr>
        </w:div>
        <w:div w:id="2031948621">
          <w:marLeft w:val="1166"/>
          <w:marRight w:val="0"/>
          <w:marTop w:val="48"/>
          <w:marBottom w:val="0"/>
          <w:divBdr>
            <w:top w:val="none" w:sz="0" w:space="0" w:color="auto"/>
            <w:left w:val="none" w:sz="0" w:space="0" w:color="auto"/>
            <w:bottom w:val="none" w:sz="0" w:space="0" w:color="auto"/>
            <w:right w:val="none" w:sz="0" w:space="0" w:color="auto"/>
          </w:divBdr>
        </w:div>
      </w:divsChild>
    </w:div>
    <w:div w:id="1428887861">
      <w:bodyDiv w:val="1"/>
      <w:marLeft w:val="0"/>
      <w:marRight w:val="0"/>
      <w:marTop w:val="0"/>
      <w:marBottom w:val="0"/>
      <w:divBdr>
        <w:top w:val="none" w:sz="0" w:space="0" w:color="auto"/>
        <w:left w:val="none" w:sz="0" w:space="0" w:color="auto"/>
        <w:bottom w:val="none" w:sz="0" w:space="0" w:color="auto"/>
        <w:right w:val="none" w:sz="0" w:space="0" w:color="auto"/>
      </w:divBdr>
      <w:divsChild>
        <w:div w:id="142553774">
          <w:marLeft w:val="1166"/>
          <w:marRight w:val="0"/>
          <w:marTop w:val="48"/>
          <w:marBottom w:val="0"/>
          <w:divBdr>
            <w:top w:val="none" w:sz="0" w:space="0" w:color="auto"/>
            <w:left w:val="none" w:sz="0" w:space="0" w:color="auto"/>
            <w:bottom w:val="none" w:sz="0" w:space="0" w:color="auto"/>
            <w:right w:val="none" w:sz="0" w:space="0" w:color="auto"/>
          </w:divBdr>
        </w:div>
        <w:div w:id="207377189">
          <w:marLeft w:val="1166"/>
          <w:marRight w:val="0"/>
          <w:marTop w:val="48"/>
          <w:marBottom w:val="0"/>
          <w:divBdr>
            <w:top w:val="none" w:sz="0" w:space="0" w:color="auto"/>
            <w:left w:val="none" w:sz="0" w:space="0" w:color="auto"/>
            <w:bottom w:val="none" w:sz="0" w:space="0" w:color="auto"/>
            <w:right w:val="none" w:sz="0" w:space="0" w:color="auto"/>
          </w:divBdr>
        </w:div>
        <w:div w:id="1599680392">
          <w:marLeft w:val="1166"/>
          <w:marRight w:val="0"/>
          <w:marTop w:val="48"/>
          <w:marBottom w:val="0"/>
          <w:divBdr>
            <w:top w:val="none" w:sz="0" w:space="0" w:color="auto"/>
            <w:left w:val="none" w:sz="0" w:space="0" w:color="auto"/>
            <w:bottom w:val="none" w:sz="0" w:space="0" w:color="auto"/>
            <w:right w:val="none" w:sz="0" w:space="0" w:color="auto"/>
          </w:divBdr>
        </w:div>
        <w:div w:id="1759981979">
          <w:marLeft w:val="1166"/>
          <w:marRight w:val="0"/>
          <w:marTop w:val="48"/>
          <w:marBottom w:val="0"/>
          <w:divBdr>
            <w:top w:val="none" w:sz="0" w:space="0" w:color="auto"/>
            <w:left w:val="none" w:sz="0" w:space="0" w:color="auto"/>
            <w:bottom w:val="none" w:sz="0" w:space="0" w:color="auto"/>
            <w:right w:val="none" w:sz="0" w:space="0" w:color="auto"/>
          </w:divBdr>
        </w:div>
        <w:div w:id="2041971443">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F0BC-DEEB-4295-9E5A-F1F8E8F4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Template.dot</Template>
  <TotalTime>1</TotalTime>
  <Pages>6</Pages>
  <Words>2211</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Hurst, Lee</cp:lastModifiedBy>
  <cp:revision>3</cp:revision>
  <cp:lastPrinted>2017-09-07T14:55:00Z</cp:lastPrinted>
  <dcterms:created xsi:type="dcterms:W3CDTF">2018-01-22T14:30:00Z</dcterms:created>
  <dcterms:modified xsi:type="dcterms:W3CDTF">2018-01-22T14:31:00Z</dcterms:modified>
</cp:coreProperties>
</file>